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E0BC2" w:rsidTr="0087742F">
        <w:tc>
          <w:tcPr>
            <w:tcW w:w="5211" w:type="dxa"/>
          </w:tcPr>
          <w:p w:rsidR="005E0BC2" w:rsidRPr="00CB47B5" w:rsidRDefault="005E0BC2" w:rsidP="00CB47B5">
            <w:pPr>
              <w:jc w:val="center"/>
              <w:rPr>
                <w:color w:val="333333"/>
                <w:sz w:val="22"/>
              </w:rPr>
            </w:pPr>
            <w:r w:rsidRPr="00CB47B5">
              <w:rPr>
                <w:color w:val="333333"/>
                <w:sz w:val="22"/>
              </w:rPr>
              <w:t>Министерство здравоохранения,</w:t>
            </w:r>
          </w:p>
          <w:p w:rsidR="005E0BC2" w:rsidRDefault="005E0BC2" w:rsidP="005E0BC2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 </w:t>
            </w:r>
            <w:r w:rsidRPr="003C4003">
              <w:rPr>
                <w:color w:val="333333"/>
                <w:sz w:val="22"/>
              </w:rPr>
              <w:t>семьи и социального благополучия</w:t>
            </w:r>
          </w:p>
          <w:p w:rsidR="005E0BC2" w:rsidRPr="005570A2" w:rsidRDefault="005E0BC2" w:rsidP="005E0BC2">
            <w:pPr>
              <w:jc w:val="center"/>
              <w:rPr>
                <w:color w:val="333333"/>
                <w:sz w:val="22"/>
              </w:rPr>
            </w:pPr>
            <w:r w:rsidRPr="005570A2">
              <w:rPr>
                <w:color w:val="333333"/>
                <w:sz w:val="22"/>
              </w:rPr>
              <w:t>Ульяновской области</w:t>
            </w:r>
          </w:p>
          <w:p w:rsidR="005E0BC2" w:rsidRPr="005570A2" w:rsidRDefault="005E0BC2" w:rsidP="005E0BC2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Г</w:t>
            </w:r>
            <w:r w:rsidRPr="005570A2">
              <w:rPr>
                <w:b/>
                <w:color w:val="333333"/>
                <w:sz w:val="22"/>
              </w:rPr>
              <w:t>осударственное учреждение</w:t>
            </w:r>
          </w:p>
          <w:p w:rsidR="005E0BC2" w:rsidRPr="005570A2" w:rsidRDefault="005E0BC2" w:rsidP="005E0BC2">
            <w:pPr>
              <w:jc w:val="center"/>
              <w:rPr>
                <w:b/>
                <w:color w:val="333333"/>
                <w:sz w:val="22"/>
              </w:rPr>
            </w:pPr>
            <w:r w:rsidRPr="005570A2">
              <w:rPr>
                <w:b/>
                <w:color w:val="333333"/>
                <w:sz w:val="22"/>
              </w:rPr>
              <w:t>здравоохранения</w:t>
            </w:r>
            <w:r>
              <w:rPr>
                <w:b/>
                <w:color w:val="333333"/>
                <w:sz w:val="22"/>
              </w:rPr>
              <w:t xml:space="preserve"> </w:t>
            </w:r>
            <w:r w:rsidRPr="005570A2">
              <w:rPr>
                <w:b/>
                <w:color w:val="333333"/>
                <w:sz w:val="22"/>
              </w:rPr>
              <w:t xml:space="preserve"> </w:t>
            </w:r>
          </w:p>
          <w:p w:rsidR="005E0BC2" w:rsidRPr="009F5234" w:rsidRDefault="005E0BC2" w:rsidP="005E0BC2">
            <w:pPr>
              <w:jc w:val="center"/>
              <w:rPr>
                <w:b/>
                <w:color w:val="333333"/>
                <w:sz w:val="22"/>
              </w:rPr>
            </w:pPr>
            <w:r w:rsidRPr="009F5234">
              <w:rPr>
                <w:b/>
                <w:color w:val="333333"/>
                <w:sz w:val="22"/>
              </w:rPr>
              <w:t>«Ульяновский      областной     клинический</w:t>
            </w:r>
          </w:p>
          <w:p w:rsidR="005E0BC2" w:rsidRPr="003C4003" w:rsidRDefault="005E0BC2" w:rsidP="005E0BC2">
            <w:pPr>
              <w:jc w:val="center"/>
              <w:rPr>
                <w:b/>
                <w:color w:val="333333"/>
                <w:sz w:val="22"/>
              </w:rPr>
            </w:pPr>
            <w:r w:rsidRPr="009F5234">
              <w:rPr>
                <w:b/>
                <w:color w:val="333333"/>
                <w:sz w:val="22"/>
              </w:rPr>
              <w:t>госпиталь ветеранов войн»</w:t>
            </w:r>
          </w:p>
          <w:p w:rsidR="005E0BC2" w:rsidRPr="009F5234" w:rsidRDefault="005E0BC2" w:rsidP="005E0BC2">
            <w:pPr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2"/>
              </w:rPr>
              <w:t>432017</w:t>
            </w:r>
            <w:r w:rsidRPr="00202534">
              <w:rPr>
                <w:color w:val="333333"/>
                <w:sz w:val="22"/>
              </w:rPr>
              <w:t xml:space="preserve">, г. Ульяновск, </w:t>
            </w:r>
            <w:r>
              <w:rPr>
                <w:color w:val="333333"/>
                <w:sz w:val="22"/>
              </w:rPr>
              <w:t>ул. Кузнецова, д. 26</w:t>
            </w:r>
            <w:r w:rsidRPr="00202534">
              <w:rPr>
                <w:color w:val="333333"/>
                <w:sz w:val="22"/>
              </w:rPr>
              <w:t xml:space="preserve"> </w:t>
            </w:r>
          </w:p>
          <w:p w:rsidR="005E0BC2" w:rsidRPr="00CF7280" w:rsidRDefault="005E0BC2" w:rsidP="005E0BC2">
            <w:pPr>
              <w:jc w:val="center"/>
              <w:rPr>
                <w:color w:val="333333"/>
                <w:sz w:val="22"/>
              </w:rPr>
            </w:pPr>
            <w:r w:rsidRPr="00202534">
              <w:rPr>
                <w:color w:val="333333"/>
                <w:sz w:val="22"/>
              </w:rPr>
              <w:t>Тел</w:t>
            </w:r>
            <w:r w:rsidRPr="00CF7280">
              <w:rPr>
                <w:color w:val="333333"/>
                <w:sz w:val="22"/>
              </w:rPr>
              <w:t>./</w:t>
            </w:r>
            <w:r w:rsidRPr="00202534">
              <w:rPr>
                <w:color w:val="333333"/>
                <w:sz w:val="22"/>
              </w:rPr>
              <w:t>факс</w:t>
            </w:r>
            <w:r w:rsidRPr="00CF7280">
              <w:rPr>
                <w:color w:val="333333"/>
                <w:sz w:val="22"/>
              </w:rPr>
              <w:t>:    (8422) 41-85-52, 41-08-01</w:t>
            </w:r>
          </w:p>
          <w:p w:rsidR="005E0BC2" w:rsidRPr="00CF7280" w:rsidRDefault="005E0BC2" w:rsidP="005E0BC2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  <w:lang w:val="en-US"/>
              </w:rPr>
              <w:t>e</w:t>
            </w:r>
            <w:r w:rsidRPr="00CF7280">
              <w:rPr>
                <w:color w:val="333333"/>
                <w:sz w:val="22"/>
              </w:rPr>
              <w:t>-</w:t>
            </w:r>
            <w:r>
              <w:rPr>
                <w:color w:val="333333"/>
                <w:sz w:val="22"/>
                <w:lang w:val="en-US"/>
              </w:rPr>
              <w:t>mail</w:t>
            </w:r>
            <w:r w:rsidRPr="00CF7280">
              <w:rPr>
                <w:color w:val="333333"/>
                <w:sz w:val="22"/>
              </w:rPr>
              <w:t xml:space="preserve">: </w:t>
            </w:r>
            <w:r>
              <w:rPr>
                <w:color w:val="333333"/>
                <w:sz w:val="22"/>
                <w:lang w:val="en-US"/>
              </w:rPr>
              <w:t>info</w:t>
            </w:r>
            <w:r w:rsidRPr="00CF7280">
              <w:rPr>
                <w:color w:val="333333"/>
                <w:sz w:val="22"/>
              </w:rPr>
              <w:t xml:space="preserve"> @ </w:t>
            </w:r>
            <w:proofErr w:type="spellStart"/>
            <w:r>
              <w:rPr>
                <w:color w:val="333333"/>
                <w:sz w:val="22"/>
                <w:lang w:val="en-US"/>
              </w:rPr>
              <w:t>uokgvv</w:t>
            </w:r>
            <w:proofErr w:type="spellEnd"/>
            <w:r w:rsidRPr="00CF7280">
              <w:rPr>
                <w:color w:val="333333"/>
                <w:sz w:val="22"/>
              </w:rPr>
              <w:t>.</w:t>
            </w:r>
            <w:proofErr w:type="spellStart"/>
            <w:r w:rsidRPr="00202534">
              <w:rPr>
                <w:color w:val="333333"/>
                <w:sz w:val="22"/>
                <w:lang w:val="en-US"/>
              </w:rPr>
              <w:t>ru</w:t>
            </w:r>
            <w:proofErr w:type="spellEnd"/>
          </w:p>
          <w:p w:rsidR="005E0BC2" w:rsidRPr="00D86059" w:rsidRDefault="005E0BC2" w:rsidP="005E0BC2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ИНН 7303014661 КПП 732501001</w:t>
            </w:r>
          </w:p>
          <w:p w:rsidR="005E0BC2" w:rsidRPr="00D86059" w:rsidRDefault="005E0BC2" w:rsidP="005E0BC2">
            <w:pPr>
              <w:rPr>
                <w:color w:val="333333"/>
                <w:sz w:val="22"/>
              </w:rPr>
            </w:pPr>
          </w:p>
          <w:p w:rsidR="005E0BC2" w:rsidRDefault="005E0BC2" w:rsidP="001207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120757" w:rsidRDefault="00120757" w:rsidP="0087742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</w:p>
          <w:p w:rsidR="00120757" w:rsidRDefault="00120757" w:rsidP="0087742F">
            <w:pPr>
              <w:jc w:val="center"/>
              <w:rPr>
                <w:b/>
              </w:rPr>
            </w:pPr>
            <w:r>
              <w:rPr>
                <w:b/>
              </w:rPr>
              <w:t>Департамента государственных закупок</w:t>
            </w:r>
          </w:p>
          <w:p w:rsidR="00120757" w:rsidRDefault="00120757" w:rsidP="0087742F">
            <w:pPr>
              <w:jc w:val="center"/>
              <w:rPr>
                <w:b/>
              </w:rPr>
            </w:pPr>
            <w:r>
              <w:rPr>
                <w:b/>
              </w:rPr>
              <w:t>Министерства развития конкуренции и экономики</w:t>
            </w:r>
          </w:p>
          <w:p w:rsidR="00120757" w:rsidRDefault="00120757" w:rsidP="0087742F">
            <w:pPr>
              <w:jc w:val="center"/>
              <w:rPr>
                <w:b/>
              </w:rPr>
            </w:pPr>
            <w:r>
              <w:rPr>
                <w:b/>
              </w:rPr>
              <w:t>Ульяновской области</w:t>
            </w:r>
          </w:p>
          <w:p w:rsidR="00120757" w:rsidRDefault="00120757" w:rsidP="0087742F">
            <w:pPr>
              <w:jc w:val="center"/>
              <w:rPr>
                <w:b/>
              </w:rPr>
            </w:pPr>
          </w:p>
          <w:p w:rsidR="005E0BC2" w:rsidRDefault="00120757" w:rsidP="00877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И.А. Погореловой</w:t>
            </w:r>
          </w:p>
        </w:tc>
      </w:tr>
    </w:tbl>
    <w:p w:rsidR="005E0BC2" w:rsidRDefault="005E0BC2" w:rsidP="005E0BC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E0BC2" w:rsidRPr="00C8427E" w:rsidRDefault="005E0BC2" w:rsidP="005E0BC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8427E">
        <w:rPr>
          <w:b/>
          <w:bCs/>
        </w:rPr>
        <w:t>Технико-экономическое задание</w:t>
      </w:r>
    </w:p>
    <w:p w:rsidR="005E0BC2" w:rsidRPr="00BA61B3" w:rsidRDefault="005E0BC2" w:rsidP="00B52BE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5"/>
        <w:gridCol w:w="6943"/>
      </w:tblGrid>
      <w:tr w:rsidR="005E0BC2" w:rsidRPr="00BA61B3" w:rsidTr="00631D31">
        <w:tc>
          <w:tcPr>
            <w:tcW w:w="3656" w:type="dxa"/>
            <w:shd w:val="clear" w:color="auto" w:fill="auto"/>
          </w:tcPr>
          <w:p w:rsidR="005E0BC2" w:rsidRPr="00C8427E" w:rsidRDefault="005E0BC2" w:rsidP="0098122F">
            <w:pPr>
              <w:jc w:val="center"/>
              <w:rPr>
                <w:sz w:val="22"/>
                <w:szCs w:val="22"/>
              </w:rPr>
            </w:pPr>
            <w:r w:rsidRPr="00C8427E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942" w:type="dxa"/>
            <w:shd w:val="clear" w:color="auto" w:fill="auto"/>
          </w:tcPr>
          <w:p w:rsidR="005E0BC2" w:rsidRPr="00C8427E" w:rsidRDefault="005E0BC2" w:rsidP="0098122F">
            <w:pPr>
              <w:jc w:val="center"/>
              <w:rPr>
                <w:sz w:val="22"/>
                <w:szCs w:val="22"/>
              </w:rPr>
            </w:pPr>
            <w:r w:rsidRPr="00C8427E">
              <w:rPr>
                <w:sz w:val="22"/>
                <w:szCs w:val="22"/>
              </w:rPr>
              <w:t>Текст пояснений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5E0BC2">
            <w:pPr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1. Сведения о заказчике: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5E0BC2">
            <w:pPr>
              <w:tabs>
                <w:tab w:val="center" w:pos="4446"/>
                <w:tab w:val="left" w:pos="6000"/>
              </w:tabs>
              <w:rPr>
                <w:b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Наименование:</w:t>
            </w:r>
            <w:r w:rsidRPr="005F5AE5">
              <w:rPr>
                <w:b/>
                <w:sz w:val="19"/>
                <w:szCs w:val="19"/>
              </w:rPr>
              <w:t xml:space="preserve"> Государственное учреждение здравоохранения «Ульяновский областной клинический госпиталь ветеранов войн»</w:t>
            </w:r>
          </w:p>
          <w:p w:rsidR="005E0BC2" w:rsidRPr="005F5AE5" w:rsidRDefault="005E0BC2" w:rsidP="005E0BC2">
            <w:pPr>
              <w:tabs>
                <w:tab w:val="center" w:pos="4446"/>
                <w:tab w:val="left" w:pos="6000"/>
              </w:tabs>
              <w:rPr>
                <w:b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Место нахождения: </w:t>
            </w:r>
            <w:r w:rsidRPr="005F5AE5">
              <w:rPr>
                <w:b/>
                <w:sz w:val="19"/>
                <w:szCs w:val="19"/>
              </w:rPr>
              <w:t>432017, г. Ульяновск,</w:t>
            </w:r>
          </w:p>
          <w:p w:rsidR="005E0BC2" w:rsidRPr="005F5AE5" w:rsidRDefault="005E0BC2" w:rsidP="005E0BC2">
            <w:pPr>
              <w:tabs>
                <w:tab w:val="center" w:pos="4446"/>
                <w:tab w:val="left" w:pos="6000"/>
              </w:tabs>
              <w:rPr>
                <w:b/>
                <w:caps/>
                <w:sz w:val="19"/>
                <w:szCs w:val="19"/>
              </w:rPr>
            </w:pPr>
            <w:r w:rsidRPr="005F5AE5">
              <w:rPr>
                <w:b/>
                <w:sz w:val="19"/>
                <w:szCs w:val="19"/>
              </w:rPr>
              <w:t>ул. Кузнецова, 26</w:t>
            </w:r>
          </w:p>
          <w:p w:rsidR="005E0BC2" w:rsidRPr="005F5AE5" w:rsidRDefault="005E0BC2" w:rsidP="005E0BC2">
            <w:pPr>
              <w:tabs>
                <w:tab w:val="center" w:pos="4446"/>
                <w:tab w:val="left" w:pos="6000"/>
              </w:tabs>
              <w:rPr>
                <w:b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Почтовый адрес:</w:t>
            </w:r>
            <w:r w:rsidRPr="005F5AE5">
              <w:rPr>
                <w:b/>
                <w:sz w:val="19"/>
                <w:szCs w:val="19"/>
              </w:rPr>
              <w:t xml:space="preserve"> 432017, г. Ульяновск,</w:t>
            </w:r>
          </w:p>
          <w:p w:rsidR="005E0BC2" w:rsidRPr="005F5AE5" w:rsidRDefault="005E0BC2" w:rsidP="005E0BC2">
            <w:pPr>
              <w:tabs>
                <w:tab w:val="center" w:pos="4446"/>
                <w:tab w:val="left" w:pos="6000"/>
              </w:tabs>
              <w:rPr>
                <w:b/>
                <w:caps/>
                <w:sz w:val="19"/>
                <w:szCs w:val="19"/>
              </w:rPr>
            </w:pPr>
            <w:r w:rsidRPr="005F5AE5">
              <w:rPr>
                <w:b/>
                <w:sz w:val="19"/>
                <w:szCs w:val="19"/>
              </w:rPr>
              <w:t>ул. Кузнецова, 26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Адрес электронной почты: </w:t>
            </w:r>
            <w:hyperlink r:id="rId7" w:history="1">
              <w:r w:rsidRPr="005F5AE5">
                <w:rPr>
                  <w:rStyle w:val="a4"/>
                  <w:sz w:val="19"/>
                  <w:szCs w:val="19"/>
                  <w:lang w:val="en-US"/>
                </w:rPr>
                <w:t>g</w:t>
              </w:r>
              <w:r w:rsidRPr="005F5AE5">
                <w:rPr>
                  <w:rStyle w:val="a4"/>
                  <w:sz w:val="19"/>
                  <w:szCs w:val="19"/>
                </w:rPr>
                <w:t>ospital.</w:t>
              </w:r>
              <w:r w:rsidRPr="005F5AE5">
                <w:rPr>
                  <w:rStyle w:val="a4"/>
                  <w:sz w:val="19"/>
                  <w:szCs w:val="19"/>
                  <w:lang w:val="en-US"/>
                </w:rPr>
                <w:t>vv</w:t>
              </w:r>
              <w:r w:rsidRPr="005F5AE5">
                <w:rPr>
                  <w:rStyle w:val="a4"/>
                  <w:sz w:val="19"/>
                  <w:szCs w:val="19"/>
                </w:rPr>
                <w:t>@m</w:t>
              </w:r>
              <w:r w:rsidRPr="005F5AE5">
                <w:rPr>
                  <w:rStyle w:val="a4"/>
                  <w:sz w:val="19"/>
                  <w:szCs w:val="19"/>
                  <w:lang w:val="en-US"/>
                </w:rPr>
                <w:t>ail</w:t>
              </w:r>
              <w:r w:rsidRPr="005F5AE5">
                <w:rPr>
                  <w:rStyle w:val="a4"/>
                  <w:sz w:val="19"/>
                  <w:szCs w:val="19"/>
                </w:rPr>
                <w:t>.ru</w:t>
              </w:r>
            </w:hyperlink>
            <w:r w:rsidRPr="005F5AE5">
              <w:rPr>
                <w:sz w:val="19"/>
                <w:szCs w:val="19"/>
              </w:rPr>
              <w:t>;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Номер контактного телефона: (8422) 41-47-10</w:t>
            </w:r>
          </w:p>
          <w:p w:rsidR="005E0BC2" w:rsidRPr="005F5AE5" w:rsidRDefault="005E0BC2" w:rsidP="005E0BC2">
            <w:pPr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Ответственное должностное лицо: </w:t>
            </w:r>
            <w:r w:rsidRPr="005F5AE5">
              <w:rPr>
                <w:b/>
                <w:sz w:val="19"/>
                <w:szCs w:val="19"/>
              </w:rPr>
              <w:t>Начальник контрактного отдела Савенков Павел Викторович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5E0BC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2. Способ определения поставщика (подрядчика, исполнителя)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5E0BC2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</w:t>
            </w:r>
            <w:r w:rsidR="0098122F" w:rsidRPr="005F5AE5">
              <w:rPr>
                <w:sz w:val="19"/>
                <w:szCs w:val="19"/>
              </w:rPr>
              <w:t>Конкурс с ог</w:t>
            </w:r>
            <w:r w:rsidR="0087742F" w:rsidRPr="005F5AE5">
              <w:rPr>
                <w:sz w:val="19"/>
                <w:szCs w:val="19"/>
              </w:rPr>
              <w:t>раниченным участием (далее</w:t>
            </w:r>
            <w:r w:rsidR="0098122F" w:rsidRPr="005F5AE5">
              <w:rPr>
                <w:sz w:val="19"/>
                <w:szCs w:val="19"/>
              </w:rPr>
              <w:t xml:space="preserve"> – конкурс)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5E0BC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3. Идентификационный код закупки в плане-графике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124F1B" w:rsidP="0098122F">
            <w:pPr>
              <w:jc w:val="both"/>
              <w:rPr>
                <w:i/>
                <w:sz w:val="19"/>
                <w:szCs w:val="19"/>
              </w:rPr>
            </w:pPr>
            <w:r w:rsidRPr="005F5AE5">
              <w:rPr>
                <w:i/>
                <w:sz w:val="19"/>
                <w:szCs w:val="19"/>
              </w:rPr>
              <w:t>182730301466173250100100720015629000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5E0BC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4. Ограничение участия в определении поставщика (подрядчика, исполнителя), установленное в соответствии с Федеральным законом от 05.04.2013 № 44-ФЗ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98122F" w:rsidP="005E0BC2">
            <w:pPr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Не ограничено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5E0BC2">
            <w:pPr>
              <w:autoSpaceDE w:val="0"/>
              <w:autoSpaceDN w:val="0"/>
              <w:adjustRightInd w:val="0"/>
              <w:outlineLvl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5. Преимущества, предоставляемые заказчиком в соответствии со статьями 28 - 30 Федерального закона от 05.04.2013 № 44-ФЗ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</w:t>
            </w:r>
            <w:r w:rsidR="0098122F" w:rsidRPr="005F5AE5">
              <w:rPr>
                <w:sz w:val="19"/>
                <w:szCs w:val="19"/>
              </w:rPr>
              <w:t>Не предоставляются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</w:p>
        </w:tc>
      </w:tr>
      <w:tr w:rsidR="005E0BC2" w:rsidRPr="005F5AE5" w:rsidTr="00631D31"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5E0BC2" w:rsidRPr="005F5AE5" w:rsidRDefault="005E0BC2" w:rsidP="005E0BC2">
            <w:pPr>
              <w:autoSpaceDE w:val="0"/>
              <w:autoSpaceDN w:val="0"/>
              <w:adjustRightInd w:val="0"/>
              <w:outlineLvl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6.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:rsidR="002E5F1C" w:rsidRPr="005F5AE5" w:rsidRDefault="005E0BC2" w:rsidP="002E5F1C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br/>
            </w:r>
          </w:p>
          <w:p w:rsidR="002E5F1C" w:rsidRPr="005F5AE5" w:rsidRDefault="005E0BC2" w:rsidP="002E5F1C">
            <w:pPr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5F5AE5">
              <w:rPr>
                <w:sz w:val="19"/>
                <w:szCs w:val="19"/>
              </w:rPr>
              <w:br/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Не устанавливаются.</w:t>
            </w:r>
          </w:p>
        </w:tc>
      </w:tr>
      <w:tr w:rsidR="005E0BC2" w:rsidRPr="005F5AE5" w:rsidTr="00631D31">
        <w:tc>
          <w:tcPr>
            <w:tcW w:w="10598" w:type="dxa"/>
            <w:gridSpan w:val="2"/>
            <w:tcBorders>
              <w:top w:val="nil"/>
            </w:tcBorders>
            <w:shd w:val="clear" w:color="auto" w:fill="auto"/>
          </w:tcPr>
          <w:p w:rsidR="005E0BC2" w:rsidRPr="005F5AE5" w:rsidRDefault="005E0BC2" w:rsidP="0098122F">
            <w:pPr>
              <w:jc w:val="center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ОБЪЕКТ ЗАКУПКИ И УСЛОВИЯ КОНТРАКТА</w:t>
            </w:r>
          </w:p>
        </w:tc>
      </w:tr>
      <w:tr w:rsidR="005E0BC2" w:rsidRPr="005F5AE5" w:rsidTr="00631D31">
        <w:tc>
          <w:tcPr>
            <w:tcW w:w="3656" w:type="dxa"/>
            <w:tcBorders>
              <w:top w:val="nil"/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7. Наименование объекта </w:t>
            </w:r>
          </w:p>
          <w:p w:rsidR="005E0BC2" w:rsidRPr="005F5AE5" w:rsidRDefault="005E0BC2" w:rsidP="0098122F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закупки</w:t>
            </w:r>
          </w:p>
        </w:tc>
        <w:tc>
          <w:tcPr>
            <w:tcW w:w="6942" w:type="dxa"/>
            <w:tcBorders>
              <w:top w:val="nil"/>
              <w:bottom w:val="nil"/>
            </w:tcBorders>
            <w:shd w:val="clear" w:color="auto" w:fill="auto"/>
          </w:tcPr>
          <w:p w:rsidR="005E0BC2" w:rsidRPr="005F5AE5" w:rsidRDefault="0009434B" w:rsidP="0009434B">
            <w:pPr>
              <w:jc w:val="both"/>
              <w:rPr>
                <w:i/>
                <w:sz w:val="19"/>
                <w:szCs w:val="19"/>
              </w:rPr>
            </w:pPr>
            <w:r w:rsidRPr="005F5AE5">
              <w:rPr>
                <w:i/>
                <w:sz w:val="19"/>
                <w:szCs w:val="19"/>
              </w:rPr>
              <w:t>Услуги по о</w:t>
            </w:r>
            <w:r w:rsidR="0098122F" w:rsidRPr="005F5AE5">
              <w:rPr>
                <w:i/>
                <w:sz w:val="19"/>
                <w:szCs w:val="19"/>
              </w:rPr>
              <w:t>рганизаци</w:t>
            </w:r>
            <w:r w:rsidRPr="005F5AE5">
              <w:rPr>
                <w:i/>
                <w:sz w:val="19"/>
                <w:szCs w:val="19"/>
              </w:rPr>
              <w:t>и</w:t>
            </w:r>
            <w:r w:rsidR="0098122F" w:rsidRPr="005F5AE5">
              <w:rPr>
                <w:i/>
                <w:sz w:val="19"/>
                <w:szCs w:val="19"/>
              </w:rPr>
              <w:t xml:space="preserve"> горячего лечебного питания в Госпитале Ветеранов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8. Описание объекта закупки и количество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320268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В соответствии с Приложением №</w:t>
            </w:r>
            <w:r w:rsidR="00320268" w:rsidRPr="005F5AE5">
              <w:rPr>
                <w:sz w:val="19"/>
                <w:szCs w:val="19"/>
              </w:rPr>
              <w:t>1.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2E5F1C">
            <w:pPr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9. Место доставки товара, являющегося предметом контракта, место выполнения работы или оказания услуги, </w:t>
            </w:r>
            <w:proofErr w:type="gramStart"/>
            <w:r w:rsidRPr="005F5AE5">
              <w:rPr>
                <w:sz w:val="19"/>
                <w:szCs w:val="19"/>
              </w:rPr>
              <w:t>являющихся</w:t>
            </w:r>
            <w:proofErr w:type="gramEnd"/>
            <w:r w:rsidRPr="005F5AE5">
              <w:rPr>
                <w:sz w:val="19"/>
                <w:szCs w:val="19"/>
              </w:rPr>
              <w:t xml:space="preserve"> предметом контракта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98122F" w:rsidP="0098122F">
            <w:pPr>
              <w:jc w:val="both"/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Приготовление питания должно осуществляться на территории Исполнителя.  Доставка готового питания до пункта раздачи должна осуществляться в ёмкостях – термосах Исполнителя, силами и за счет средств Исполнителя по адресу: г. Ульяновск ул. Кузнецова д. 26, пищеблок Госпиталя Ветеранов (1 этаж)</w:t>
            </w:r>
            <w:r w:rsidR="006B1623" w:rsidRPr="005F5AE5">
              <w:rPr>
                <w:sz w:val="19"/>
                <w:szCs w:val="19"/>
              </w:rPr>
              <w:t xml:space="preserve">; </w:t>
            </w:r>
            <w:r w:rsidR="003118F4" w:rsidRPr="005F5AE5">
              <w:rPr>
                <w:sz w:val="19"/>
                <w:szCs w:val="19"/>
              </w:rPr>
              <w:t xml:space="preserve">с. </w:t>
            </w:r>
            <w:proofErr w:type="gramStart"/>
            <w:r w:rsidR="003118F4" w:rsidRPr="005F5AE5">
              <w:rPr>
                <w:sz w:val="19"/>
                <w:szCs w:val="19"/>
              </w:rPr>
              <w:t>Лесное</w:t>
            </w:r>
            <w:proofErr w:type="gramEnd"/>
            <w:r w:rsidR="003118F4" w:rsidRPr="005F5AE5">
              <w:rPr>
                <w:sz w:val="19"/>
                <w:szCs w:val="19"/>
              </w:rPr>
              <w:t xml:space="preserve"> </w:t>
            </w:r>
            <w:proofErr w:type="spellStart"/>
            <w:r w:rsidR="003118F4" w:rsidRPr="005F5AE5">
              <w:rPr>
                <w:sz w:val="19"/>
                <w:szCs w:val="19"/>
              </w:rPr>
              <w:t>Матюнино</w:t>
            </w:r>
            <w:proofErr w:type="spellEnd"/>
            <w:r w:rsidR="003118F4" w:rsidRPr="005F5AE5">
              <w:rPr>
                <w:sz w:val="19"/>
                <w:szCs w:val="19"/>
              </w:rPr>
              <w:t xml:space="preserve">, </w:t>
            </w:r>
            <w:proofErr w:type="spellStart"/>
            <w:r w:rsidR="003118F4" w:rsidRPr="005F5AE5">
              <w:rPr>
                <w:sz w:val="19"/>
                <w:szCs w:val="19"/>
              </w:rPr>
              <w:t>Кузоватовского</w:t>
            </w:r>
            <w:proofErr w:type="spellEnd"/>
            <w:r w:rsidR="003118F4" w:rsidRPr="005F5AE5">
              <w:rPr>
                <w:sz w:val="19"/>
                <w:szCs w:val="19"/>
              </w:rPr>
              <w:t xml:space="preserve"> района, Ульяновской области пищеблок; с. Озерки, </w:t>
            </w:r>
            <w:proofErr w:type="spellStart"/>
            <w:r w:rsidR="003118F4" w:rsidRPr="005F5AE5">
              <w:rPr>
                <w:sz w:val="19"/>
                <w:szCs w:val="19"/>
              </w:rPr>
              <w:t>Чердаклинского</w:t>
            </w:r>
            <w:proofErr w:type="spellEnd"/>
            <w:r w:rsidR="003118F4" w:rsidRPr="005F5AE5">
              <w:rPr>
                <w:sz w:val="19"/>
                <w:szCs w:val="19"/>
              </w:rPr>
              <w:t xml:space="preserve"> района, Ульяновской области пищеблок.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10. Сроки поставки товара или завершения работы либо график оказания услуг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2073C2" w:rsidRPr="002073C2" w:rsidRDefault="00CF7280" w:rsidP="002073C2">
            <w:pPr>
              <w:jc w:val="both"/>
              <w:rPr>
                <w:sz w:val="19"/>
                <w:szCs w:val="19"/>
              </w:rPr>
            </w:pPr>
            <w:r w:rsidRPr="00CF7280">
              <w:rPr>
                <w:sz w:val="19"/>
                <w:szCs w:val="19"/>
              </w:rPr>
              <w:t>1. Планируемый срок (сроки отдельных этапов) поставки товаров (выполнения работ, оказания услуг):</w:t>
            </w:r>
            <w:r w:rsidRPr="00CF7280">
              <w:rPr>
                <w:sz w:val="19"/>
                <w:szCs w:val="19"/>
              </w:rPr>
              <w:tab/>
            </w:r>
            <w:r w:rsidR="002073C2" w:rsidRPr="002073C2">
              <w:rPr>
                <w:sz w:val="19"/>
                <w:szCs w:val="19"/>
              </w:rPr>
              <w:t xml:space="preserve">с момента заключения контракта по 31.12.2020г., ежедневно, время (режим) организации горячего питания: </w:t>
            </w:r>
          </w:p>
          <w:p w:rsidR="00A3577E" w:rsidRPr="00A3577E" w:rsidRDefault="00A3577E" w:rsidP="00A3577E">
            <w:pPr>
              <w:jc w:val="both"/>
              <w:rPr>
                <w:sz w:val="19"/>
                <w:szCs w:val="19"/>
              </w:rPr>
            </w:pPr>
            <w:r w:rsidRPr="00A3577E">
              <w:rPr>
                <w:sz w:val="19"/>
                <w:szCs w:val="19"/>
              </w:rPr>
              <w:t>Завтрак с 08.00 ч. -  08.30ч.;</w:t>
            </w:r>
          </w:p>
          <w:p w:rsidR="00A3577E" w:rsidRPr="00A3577E" w:rsidRDefault="00A3577E" w:rsidP="00A3577E">
            <w:pPr>
              <w:jc w:val="both"/>
              <w:rPr>
                <w:sz w:val="19"/>
                <w:szCs w:val="19"/>
              </w:rPr>
            </w:pPr>
            <w:r w:rsidRPr="00A3577E">
              <w:rPr>
                <w:sz w:val="19"/>
                <w:szCs w:val="19"/>
              </w:rPr>
              <w:t>Завтрак № 2 с 11.00ч. - 11.30ч.;</w:t>
            </w:r>
          </w:p>
          <w:p w:rsidR="00A3577E" w:rsidRPr="00A3577E" w:rsidRDefault="00A3577E" w:rsidP="00A3577E">
            <w:pPr>
              <w:jc w:val="both"/>
              <w:rPr>
                <w:sz w:val="19"/>
                <w:szCs w:val="19"/>
              </w:rPr>
            </w:pPr>
            <w:r w:rsidRPr="00A3577E">
              <w:rPr>
                <w:sz w:val="19"/>
                <w:szCs w:val="19"/>
              </w:rPr>
              <w:lastRenderedPageBreak/>
              <w:t>Обед с  13.00 ч. - 13.30ч.;</w:t>
            </w:r>
          </w:p>
          <w:p w:rsidR="00A3577E" w:rsidRPr="00A3577E" w:rsidRDefault="00A3577E" w:rsidP="00A3577E">
            <w:pPr>
              <w:jc w:val="both"/>
              <w:rPr>
                <w:sz w:val="19"/>
                <w:szCs w:val="19"/>
              </w:rPr>
            </w:pPr>
            <w:r w:rsidRPr="00A3577E">
              <w:rPr>
                <w:sz w:val="19"/>
                <w:szCs w:val="19"/>
              </w:rPr>
              <w:t>Полдник с 16.00 ч. - 16.30 ч;</w:t>
            </w:r>
          </w:p>
          <w:p w:rsidR="00A3577E" w:rsidRPr="00A3577E" w:rsidRDefault="00A3577E" w:rsidP="00A3577E">
            <w:pPr>
              <w:jc w:val="both"/>
              <w:rPr>
                <w:sz w:val="19"/>
                <w:szCs w:val="19"/>
              </w:rPr>
            </w:pPr>
            <w:r w:rsidRPr="00A3577E">
              <w:rPr>
                <w:sz w:val="19"/>
                <w:szCs w:val="19"/>
              </w:rPr>
              <w:t>Ужин с  18.00ч. - 18.30ч.</w:t>
            </w:r>
          </w:p>
          <w:p w:rsidR="00A3577E" w:rsidRPr="00A3577E" w:rsidRDefault="00A3577E" w:rsidP="00A3577E">
            <w:pPr>
              <w:jc w:val="both"/>
              <w:rPr>
                <w:sz w:val="19"/>
                <w:szCs w:val="19"/>
              </w:rPr>
            </w:pPr>
            <w:r w:rsidRPr="00A3577E">
              <w:rPr>
                <w:sz w:val="19"/>
                <w:szCs w:val="19"/>
              </w:rPr>
              <w:t>Ужин № 2 с 20.00ч.- 20.30ч.</w:t>
            </w:r>
          </w:p>
          <w:p w:rsidR="005E0BC2" w:rsidRPr="00A3577E" w:rsidRDefault="00CF7280" w:rsidP="00A3577E">
            <w:pPr>
              <w:jc w:val="both"/>
              <w:rPr>
                <w:sz w:val="19"/>
                <w:szCs w:val="19"/>
              </w:rPr>
            </w:pPr>
            <w:r w:rsidRPr="00CF7280">
              <w:rPr>
                <w:sz w:val="19"/>
                <w:szCs w:val="19"/>
              </w:rPr>
              <w:t>2.Планируемая периодичность поставки товаров (выполнения работ, оказания услуг):</w:t>
            </w:r>
            <w:r>
              <w:rPr>
                <w:sz w:val="19"/>
                <w:szCs w:val="19"/>
              </w:rPr>
              <w:t xml:space="preserve"> </w:t>
            </w:r>
            <w:r w:rsidR="002073C2" w:rsidRPr="00CF7280">
              <w:rPr>
                <w:sz w:val="19"/>
                <w:szCs w:val="19"/>
              </w:rPr>
              <w:t>не предусмотрено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lastRenderedPageBreak/>
              <w:t>11. Начальная (максимальная) цена контракта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FE17CF" w:rsidP="002202D7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  <w:r w:rsidR="008E7B13">
              <w:rPr>
                <w:sz w:val="19"/>
                <w:szCs w:val="19"/>
              </w:rPr>
              <w:t> 59</w:t>
            </w:r>
            <w:r w:rsidR="002202D7">
              <w:rPr>
                <w:sz w:val="19"/>
                <w:szCs w:val="19"/>
              </w:rPr>
              <w:t>6</w:t>
            </w:r>
            <w:r w:rsidR="008E7B13">
              <w:rPr>
                <w:sz w:val="19"/>
                <w:szCs w:val="19"/>
              </w:rPr>
              <w:t> </w:t>
            </w:r>
            <w:r w:rsidR="002202D7">
              <w:rPr>
                <w:sz w:val="19"/>
                <w:szCs w:val="19"/>
              </w:rPr>
              <w:t>053</w:t>
            </w:r>
            <w:r w:rsidR="008E7B13">
              <w:rPr>
                <w:sz w:val="19"/>
                <w:szCs w:val="19"/>
              </w:rPr>
              <w:t xml:space="preserve"> </w:t>
            </w:r>
            <w:r w:rsidR="00EB0A14" w:rsidRPr="005F5AE5">
              <w:rPr>
                <w:sz w:val="19"/>
                <w:szCs w:val="19"/>
              </w:rPr>
              <w:t xml:space="preserve"> руб. </w:t>
            </w:r>
            <w:r w:rsidR="002202D7">
              <w:rPr>
                <w:sz w:val="19"/>
                <w:szCs w:val="19"/>
              </w:rPr>
              <w:t>12</w:t>
            </w:r>
            <w:r w:rsidR="00EB0A14" w:rsidRPr="005F5AE5">
              <w:rPr>
                <w:sz w:val="19"/>
                <w:szCs w:val="19"/>
              </w:rPr>
              <w:t xml:space="preserve"> коп.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12. Обоснование начальной (максимальной) цены контракта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6818AC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</w:t>
            </w:r>
            <w:r w:rsidR="005E0BC2" w:rsidRPr="005F5AE5">
              <w:rPr>
                <w:sz w:val="19"/>
                <w:szCs w:val="19"/>
              </w:rPr>
              <w:t xml:space="preserve">В соответствии с Приложением № </w:t>
            </w:r>
            <w:r w:rsidRPr="005F5AE5">
              <w:rPr>
                <w:sz w:val="19"/>
                <w:szCs w:val="19"/>
              </w:rPr>
              <w:t>2</w:t>
            </w:r>
            <w:r w:rsidR="005E0BC2" w:rsidRPr="005F5AE5">
              <w:rPr>
                <w:sz w:val="19"/>
                <w:szCs w:val="19"/>
              </w:rPr>
              <w:t>.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13.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E55315" w:rsidRPr="005F5AE5" w:rsidRDefault="005E0BC2" w:rsidP="00E55315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Не устанавливаются 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14. Информация о валюте, используемой для формирования цены контракта и расчётов с поставщиком (подрядчиком, исполнителем)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Российский рубль.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 w:rsidR="00E55315" w:rsidRPr="005F5AE5">
              <w:rPr>
                <w:sz w:val="19"/>
                <w:szCs w:val="19"/>
              </w:rPr>
              <w:t>контракта, не предусматривается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15. Источник финансирования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бюджетных учреждений (субсидии, инвестиции бюджетным и автономным учреждениям):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proofErr w:type="gramStart"/>
            <w:r w:rsidRPr="002202D7">
              <w:rPr>
                <w:sz w:val="19"/>
                <w:szCs w:val="19"/>
              </w:rPr>
              <w:t>(Средства ОМС Ульяновской области  на 2018 год</w:t>
            </w:r>
            <w:proofErr w:type="gramEnd"/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9914978руб.81коп. (Девять миллионов девятьсот четырнадцать тысяч девятьсот семьдесят восемь рублей 81 копейка)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бюджета Ульяновской области на 2018 год: 1399482руб.10коп. (Один миллион триста девяносто девять тысяч пятьсот семнадцать рублей 55 копеек),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 xml:space="preserve">Средства предпринимательской и иной приносящей доход деятельности на 2018 год 4384786руб.75коп. (Четыре миллиона триста восемьдесят четыре тысячи семьсот восемьдесят шесть  рублей 75 копеек),  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ОМС Ульяновской области  на 2019 год 26643588руб.51коп. (Двадцать шесть миллионов шестьсот сорок три тысячи пятьсот восемьдесят восемь рублей 51 копейка)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бюджета Ульяновской области на 2019 год: 2604634руб.26коп. (Два миллиона шестьсот четыре тысячи шестьсот тридцать четыре рубля 26 копеек),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предпринимательской и иной приносящей доход деятельности на 2019 год 1093467руб.54коп. (Один миллион девятьсот три тысячи четыреста шестьдесят семь рублей 54 копейки)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ab/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ОМС Ульяновской области  на 2020 год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 xml:space="preserve">27709083руб.15коп. (Двадцать семь миллионов семьсот девять тысяч восемьдесят три рубля 15 копеек) </w:t>
            </w:r>
          </w:p>
          <w:p w:rsidR="002202D7" w:rsidRPr="002202D7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бюджета Ульяновской области на 2020 год: 2708835руб.50коп. (Два миллиона семьсот восемь тысяч восемьсот тридцать пять рублей 50 копеек),</w:t>
            </w:r>
          </w:p>
          <w:p w:rsidR="00B947F0" w:rsidRPr="005F5AE5" w:rsidRDefault="002202D7" w:rsidP="002202D7">
            <w:pPr>
              <w:jc w:val="both"/>
              <w:rPr>
                <w:sz w:val="19"/>
                <w:szCs w:val="19"/>
              </w:rPr>
            </w:pPr>
            <w:r w:rsidRPr="002202D7">
              <w:rPr>
                <w:sz w:val="19"/>
                <w:szCs w:val="19"/>
              </w:rPr>
              <w:t>Средства предпринимательской и иной приносящей доход деятельности на 2020 год 1137196руб.50коп. (Один миллион сто тридцать семь тысяч сто девяносто шесть рублей 50 копеек)</w:t>
            </w:r>
            <w:bookmarkStart w:id="0" w:name="_GoBack"/>
            <w:bookmarkEnd w:id="0"/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16. Возможность заказчика изменить условия контракта в соответствии с положениями Федерального закона от 05.04.2013 № 44-ФЗ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EB0A14">
            <w:pPr>
              <w:jc w:val="both"/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Заказчик предусматривает возможность изменения существенных условий контракта при его исполнении по соглашению сторон в соответствии с положениями статьи 95 Федерального закона от 05.04.2013 № 44-ФЗ, при этом включая случаи подпунктов «а» и «б» пункта 1 части 1 статьи 95 Федерального закона от 05.04.2013 </w:t>
            </w:r>
            <w:r w:rsidRPr="005F5AE5">
              <w:rPr>
                <w:sz w:val="19"/>
                <w:szCs w:val="19"/>
              </w:rPr>
              <w:br/>
              <w:t>№ 44-ФЗ;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17. Информация о возможности одностороннего отказа от исполнения контракта в соответствии с положениями </w:t>
            </w:r>
            <w:hyperlink r:id="rId8" w:history="1">
              <w:r w:rsidRPr="005F5AE5">
                <w:rPr>
                  <w:sz w:val="19"/>
                  <w:szCs w:val="19"/>
                </w:rPr>
                <w:t>частей 8</w:t>
              </w:r>
            </w:hyperlink>
            <w:r w:rsidRPr="005F5AE5">
              <w:rPr>
                <w:sz w:val="19"/>
                <w:szCs w:val="19"/>
              </w:rPr>
              <w:t xml:space="preserve"> - 26 статьи 95 Федерального закона от 05.04.2013 № 44-ФЗ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i/>
                <w:sz w:val="19"/>
                <w:szCs w:val="19"/>
              </w:rPr>
            </w:pPr>
          </w:p>
          <w:p w:rsidR="005E0BC2" w:rsidRPr="005F5AE5" w:rsidRDefault="00244FB7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Предусматривается</w:t>
            </w:r>
          </w:p>
          <w:p w:rsidR="005E0BC2" w:rsidRPr="005F5AE5" w:rsidRDefault="005E0BC2" w:rsidP="0098122F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bCs/>
                <w:sz w:val="19"/>
                <w:szCs w:val="19"/>
              </w:rPr>
              <w:t>18. Информация о возможности заказчика заключить контракты, указанные в части 10 статьи 34 Федерального закона</w:t>
            </w:r>
            <w:r w:rsidRPr="005F5AE5">
              <w:rPr>
                <w:sz w:val="19"/>
                <w:szCs w:val="19"/>
              </w:rPr>
              <w:t xml:space="preserve"> от 05.04.2013 № 44-ФЗ</w:t>
            </w:r>
            <w:r w:rsidRPr="005F5AE5">
              <w:rPr>
                <w:bCs/>
                <w:sz w:val="19"/>
                <w:szCs w:val="19"/>
              </w:rPr>
              <w:t>, с несколькими участниками открытого конкурса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E55315">
            <w:pPr>
              <w:jc w:val="both"/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При используемом способе определения указание не требуется 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19. Информация о возможности заказчика увеличить количество поставляемого товара при заключении контракта в соответствии с частью 18 статьи 34 Федерального закона от 05.04.2013 № 44-</w:t>
            </w:r>
            <w:r w:rsidRPr="005F5AE5">
              <w:rPr>
                <w:sz w:val="19"/>
                <w:szCs w:val="19"/>
              </w:rPr>
              <w:lastRenderedPageBreak/>
              <w:t>ФЗ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244FB7" w:rsidP="0098122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lastRenderedPageBreak/>
              <w:t>Не предусматривается</w:t>
            </w:r>
          </w:p>
          <w:p w:rsidR="005E0BC2" w:rsidRPr="005F5AE5" w:rsidRDefault="005E0BC2" w:rsidP="0098122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lastRenderedPageBreak/>
              <w:t xml:space="preserve">20. Информация о контрактной службе, контрактном управляющем, </w:t>
            </w:r>
            <w:proofErr w:type="gramStart"/>
            <w:r w:rsidRPr="005F5AE5">
              <w:rPr>
                <w:sz w:val="19"/>
                <w:szCs w:val="19"/>
              </w:rPr>
              <w:t>ответственных</w:t>
            </w:r>
            <w:proofErr w:type="gramEnd"/>
            <w:r w:rsidRPr="005F5AE5">
              <w:rPr>
                <w:sz w:val="19"/>
                <w:szCs w:val="19"/>
              </w:rPr>
              <w:t xml:space="preserve"> за заключение контракта 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244FB7" w:rsidRPr="005F5AE5" w:rsidRDefault="00244FB7" w:rsidP="00244FB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Контрактная служба Заказчика создана на основании №103 от 11.01.2016 г.</w:t>
            </w:r>
          </w:p>
          <w:p w:rsidR="00244FB7" w:rsidRPr="005F5AE5" w:rsidRDefault="00244FB7" w:rsidP="00244FB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Руководитель контрактной службы:</w:t>
            </w:r>
          </w:p>
          <w:p w:rsidR="005E0BC2" w:rsidRPr="005F5AE5" w:rsidRDefault="00244FB7" w:rsidP="00244FB7">
            <w:pPr>
              <w:jc w:val="both"/>
              <w:rPr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Начальник контрактного отдела - Савенков Павел</w:t>
            </w:r>
            <w:r w:rsidR="00EE0EB4" w:rsidRPr="005F5AE5">
              <w:rPr>
                <w:color w:val="000000" w:themeColor="text1"/>
                <w:sz w:val="19"/>
                <w:szCs w:val="19"/>
              </w:rPr>
              <w:t xml:space="preserve"> Викторович, тел.(8422) 41-47-10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21. Размер обеспечения исполнения контракта, срок и порядок предоставления обеспечения, требования к обеспечению исполнения контракта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Размер обеспечения исполнения контракта составляет: </w:t>
            </w:r>
            <w:r w:rsidR="00320268" w:rsidRPr="005F5AE5">
              <w:rPr>
                <w:sz w:val="19"/>
                <w:szCs w:val="19"/>
              </w:rPr>
              <w:t>10</w:t>
            </w:r>
            <w:r w:rsidR="00244FB7" w:rsidRPr="005F5AE5">
              <w:rPr>
                <w:sz w:val="19"/>
                <w:szCs w:val="19"/>
              </w:rPr>
              <w:t>%</w:t>
            </w:r>
            <w:r w:rsidRPr="005F5AE5">
              <w:rPr>
                <w:sz w:val="19"/>
                <w:szCs w:val="19"/>
              </w:rPr>
              <w:t xml:space="preserve"> начальной (максимальной) цены контракта.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В случае выбора участником способа обеспечения исполнения контракта – внесение денежных средств, денежные средства должны быть перечислены по следующим реквизитам:</w:t>
            </w:r>
          </w:p>
          <w:p w:rsidR="00244FB7" w:rsidRPr="005F5AE5" w:rsidRDefault="005E0BC2" w:rsidP="00244FB7">
            <w:pPr>
              <w:suppressAutoHyphens/>
              <w:jc w:val="both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Наименование получателя:</w:t>
            </w:r>
            <w:r w:rsidRPr="005F5AE5">
              <w:rPr>
                <w:sz w:val="19"/>
                <w:szCs w:val="19"/>
              </w:rPr>
              <w:t xml:space="preserve"> </w:t>
            </w:r>
            <w:r w:rsidR="00244FB7" w:rsidRPr="005F5AE5">
              <w:rPr>
                <w:color w:val="000000" w:themeColor="text1"/>
                <w:sz w:val="19"/>
                <w:szCs w:val="19"/>
              </w:rPr>
              <w:t>Министерство финансов Ульяновской области (Государственное учреждение здравоохранения «Ульяновский областной клинический госпиталь ветеранов войн»)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Лицевой счёт</w:t>
            </w:r>
            <w:proofErr w:type="gramStart"/>
            <w:r w:rsidR="00244FB7" w:rsidRPr="005F5AE5">
              <w:rPr>
                <w:sz w:val="19"/>
                <w:szCs w:val="19"/>
                <w:u w:val="single"/>
              </w:rPr>
              <w:t xml:space="preserve"> :</w:t>
            </w:r>
            <w:proofErr w:type="gramEnd"/>
            <w:r w:rsidR="00244FB7" w:rsidRPr="005F5AE5">
              <w:rPr>
                <w:sz w:val="19"/>
                <w:szCs w:val="19"/>
                <w:u w:val="single"/>
              </w:rPr>
              <w:t xml:space="preserve"> </w:t>
            </w:r>
            <w:r w:rsidR="00244FB7" w:rsidRPr="005F5AE5">
              <w:rPr>
                <w:color w:val="000000" w:themeColor="text1"/>
                <w:sz w:val="19"/>
                <w:szCs w:val="19"/>
              </w:rPr>
              <w:t>№ 20261136В52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ИНН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="00244FB7" w:rsidRPr="005F5AE5">
              <w:rPr>
                <w:sz w:val="19"/>
                <w:szCs w:val="19"/>
                <w:u w:val="single"/>
              </w:rPr>
              <w:t>:</w:t>
            </w:r>
            <w:proofErr w:type="gramEnd"/>
            <w:r w:rsidR="00244FB7" w:rsidRPr="005F5AE5">
              <w:rPr>
                <w:sz w:val="19"/>
                <w:szCs w:val="19"/>
                <w:u w:val="single"/>
              </w:rPr>
              <w:t xml:space="preserve"> </w:t>
            </w:r>
            <w:r w:rsidR="00244FB7" w:rsidRPr="005F5AE5">
              <w:rPr>
                <w:color w:val="000000" w:themeColor="text1"/>
                <w:sz w:val="19"/>
                <w:szCs w:val="19"/>
              </w:rPr>
              <w:t>7303014661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КПП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="00244FB7" w:rsidRPr="005F5AE5">
              <w:rPr>
                <w:sz w:val="19"/>
                <w:szCs w:val="19"/>
                <w:u w:val="single"/>
              </w:rPr>
              <w:t xml:space="preserve"> :</w:t>
            </w:r>
            <w:proofErr w:type="gramEnd"/>
            <w:r w:rsidR="00244FB7" w:rsidRPr="005F5AE5">
              <w:rPr>
                <w:sz w:val="19"/>
                <w:szCs w:val="19"/>
                <w:u w:val="single"/>
              </w:rPr>
              <w:t xml:space="preserve"> </w:t>
            </w:r>
            <w:r w:rsidR="00244FB7" w:rsidRPr="005F5AE5">
              <w:rPr>
                <w:color w:val="000000" w:themeColor="text1"/>
                <w:sz w:val="19"/>
                <w:szCs w:val="19"/>
              </w:rPr>
              <w:t>732501001</w:t>
            </w:r>
          </w:p>
          <w:p w:rsidR="00244FB7" w:rsidRPr="005F5AE5" w:rsidRDefault="005E0BC2" w:rsidP="00244FB7">
            <w:pPr>
              <w:suppressAutoHyphens/>
              <w:jc w:val="both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Расчётный счёт</w:t>
            </w:r>
            <w:proofErr w:type="gramStart"/>
            <w:r w:rsidR="00244FB7" w:rsidRPr="005F5AE5">
              <w:rPr>
                <w:sz w:val="19"/>
                <w:szCs w:val="19"/>
              </w:rPr>
              <w:t xml:space="preserve"> :</w:t>
            </w:r>
            <w:proofErr w:type="gramEnd"/>
            <w:r w:rsidRPr="005F5AE5">
              <w:rPr>
                <w:sz w:val="19"/>
                <w:szCs w:val="19"/>
              </w:rPr>
              <w:t xml:space="preserve"> </w:t>
            </w:r>
            <w:r w:rsidR="00244FB7" w:rsidRPr="005F5AE5">
              <w:rPr>
                <w:color w:val="000000" w:themeColor="text1"/>
                <w:sz w:val="19"/>
                <w:szCs w:val="19"/>
              </w:rPr>
              <w:t>40601810573084000001</w:t>
            </w:r>
          </w:p>
          <w:p w:rsidR="00244FB7" w:rsidRPr="005F5AE5" w:rsidRDefault="005E0BC2" w:rsidP="00244FB7">
            <w:pPr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Наименование банка</w:t>
            </w:r>
            <w:r w:rsidRPr="005F5AE5">
              <w:rPr>
                <w:sz w:val="19"/>
                <w:szCs w:val="19"/>
              </w:rPr>
              <w:t xml:space="preserve">: </w:t>
            </w:r>
            <w:r w:rsidR="00244FB7" w:rsidRPr="005F5AE5">
              <w:rPr>
                <w:color w:val="000000" w:themeColor="text1"/>
                <w:sz w:val="19"/>
                <w:szCs w:val="19"/>
              </w:rPr>
              <w:t>Отделение Ульяновск, г. Ульяновск</w:t>
            </w:r>
          </w:p>
          <w:p w:rsidR="005E0BC2" w:rsidRPr="005F5AE5" w:rsidRDefault="005E0BC2" w:rsidP="0098122F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БИК</w:t>
            </w:r>
            <w:r w:rsidR="008E5F2A" w:rsidRPr="005F5AE5">
              <w:rPr>
                <w:sz w:val="19"/>
                <w:szCs w:val="19"/>
              </w:rPr>
              <w:t xml:space="preserve"> </w:t>
            </w:r>
            <w:r w:rsidR="008E5F2A" w:rsidRPr="005F5AE5">
              <w:rPr>
                <w:color w:val="000000" w:themeColor="text1"/>
                <w:sz w:val="19"/>
                <w:szCs w:val="19"/>
              </w:rPr>
              <w:t>047308001</w:t>
            </w:r>
          </w:p>
          <w:p w:rsidR="005E0BC2" w:rsidRPr="005F5AE5" w:rsidRDefault="008E5F2A" w:rsidP="008E5F2A">
            <w:pPr>
              <w:jc w:val="both"/>
              <w:rPr>
                <w:sz w:val="19"/>
                <w:szCs w:val="19"/>
              </w:rPr>
            </w:pPr>
            <w:r w:rsidRPr="005F5AE5">
              <w:rPr>
                <w:color w:val="FF0000"/>
                <w:sz w:val="19"/>
                <w:szCs w:val="19"/>
              </w:rPr>
              <w:t xml:space="preserve"> </w:t>
            </w:r>
            <w:r w:rsidR="005E0BC2" w:rsidRPr="005F5AE5">
              <w:rPr>
                <w:sz w:val="19"/>
                <w:szCs w:val="19"/>
              </w:rPr>
              <w:t>В банковскую гарантию должно быть включено условие о праве заказчика на бесспорное списание денежных средств со счёта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</w:t>
            </w:r>
            <w:r w:rsidRPr="005F5AE5">
              <w:rPr>
                <w:sz w:val="19"/>
                <w:szCs w:val="19"/>
              </w:rPr>
              <w:t>ка действия банковской гарантии</w:t>
            </w:r>
            <w:r w:rsidR="005E0BC2" w:rsidRPr="005F5AE5">
              <w:rPr>
                <w:sz w:val="19"/>
                <w:szCs w:val="19"/>
              </w:rPr>
              <w:t>.</w:t>
            </w:r>
          </w:p>
        </w:tc>
      </w:tr>
      <w:tr w:rsidR="005E0BC2" w:rsidRPr="005F5AE5" w:rsidTr="00631D31">
        <w:tc>
          <w:tcPr>
            <w:tcW w:w="3656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22. Информация о банковском сопровождении контракта</w:t>
            </w:r>
          </w:p>
        </w:tc>
        <w:tc>
          <w:tcPr>
            <w:tcW w:w="6942" w:type="dxa"/>
            <w:tcBorders>
              <w:bottom w:val="nil"/>
            </w:tcBorders>
            <w:shd w:val="clear" w:color="auto" w:fill="auto"/>
          </w:tcPr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Не предусматривается;</w:t>
            </w:r>
          </w:p>
          <w:p w:rsidR="005E0BC2" w:rsidRPr="005F5AE5" w:rsidRDefault="005E0BC2" w:rsidP="0098122F">
            <w:pPr>
              <w:jc w:val="both"/>
              <w:rPr>
                <w:sz w:val="19"/>
                <w:szCs w:val="19"/>
              </w:rPr>
            </w:pPr>
          </w:p>
        </w:tc>
      </w:tr>
      <w:tr w:rsidR="005E0BC2" w:rsidRPr="005F5AE5" w:rsidTr="00631D31">
        <w:tc>
          <w:tcPr>
            <w:tcW w:w="105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0BC2" w:rsidRPr="005F5AE5" w:rsidRDefault="005E0BC2" w:rsidP="0098122F">
            <w:pPr>
              <w:jc w:val="center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УСЛОВИЯ И СРОКИ УЧАСТИЯ</w:t>
            </w:r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23. Размер и порядок внесения денежных сре</w:t>
            </w:r>
            <w:proofErr w:type="gramStart"/>
            <w:r w:rsidRPr="005F5AE5">
              <w:rPr>
                <w:sz w:val="19"/>
                <w:szCs w:val="19"/>
              </w:rPr>
              <w:t>дств в к</w:t>
            </w:r>
            <w:proofErr w:type="gramEnd"/>
            <w:r w:rsidRPr="005F5AE5">
              <w:rPr>
                <w:sz w:val="19"/>
                <w:szCs w:val="19"/>
              </w:rPr>
              <w:t>ачестве обеспечения заявок на участие в закупке</w:t>
            </w:r>
          </w:p>
        </w:tc>
        <w:tc>
          <w:tcPr>
            <w:tcW w:w="6946" w:type="dxa"/>
            <w:shd w:val="clear" w:color="auto" w:fill="auto"/>
          </w:tcPr>
          <w:p w:rsidR="005E0BC2" w:rsidRPr="005F5AE5" w:rsidRDefault="005E0BC2" w:rsidP="00837B98">
            <w:pPr>
              <w:autoSpaceDE w:val="0"/>
              <w:autoSpaceDN w:val="0"/>
              <w:adjustRightInd w:val="0"/>
              <w:jc w:val="both"/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Размер обеспечения заявки составляет: </w:t>
            </w:r>
            <w:r w:rsidR="00320268" w:rsidRPr="005F5AE5">
              <w:rPr>
                <w:sz w:val="19"/>
                <w:szCs w:val="19"/>
              </w:rPr>
              <w:t>0,5</w:t>
            </w:r>
            <w:r w:rsidR="00837B98" w:rsidRPr="005F5AE5">
              <w:rPr>
                <w:sz w:val="19"/>
                <w:szCs w:val="19"/>
              </w:rPr>
              <w:t>%</w:t>
            </w:r>
            <w:r w:rsidRPr="005F5AE5">
              <w:rPr>
                <w:sz w:val="19"/>
                <w:szCs w:val="19"/>
              </w:rPr>
              <w:t xml:space="preserve"> начальной (максимальной) цены контракта</w:t>
            </w:r>
          </w:p>
          <w:p w:rsidR="005E0BC2" w:rsidRPr="005F5AE5" w:rsidRDefault="005E0BC2" w:rsidP="00837B9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837B9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24. Платёжные реквизиты </w:t>
            </w:r>
            <w:proofErr w:type="gramStart"/>
            <w:r w:rsidRPr="005F5AE5">
              <w:rPr>
                <w:sz w:val="19"/>
                <w:szCs w:val="19"/>
              </w:rPr>
              <w:t>для перечисления денежных средств при уклонении участника закупки от заключения контракта</w:t>
            </w:r>
            <w:r w:rsidR="00837B98" w:rsidRPr="005F5AE5">
              <w:rPr>
                <w:sz w:val="19"/>
                <w:szCs w:val="19"/>
              </w:rPr>
              <w:t xml:space="preserve"> </w:t>
            </w:r>
            <w:r w:rsidRPr="005F5AE5">
              <w:rPr>
                <w:sz w:val="19"/>
                <w:szCs w:val="19"/>
              </w:rPr>
              <w:t>при проведении аукциона в электронной форме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837B98" w:rsidRPr="005F5AE5" w:rsidRDefault="00837B98" w:rsidP="00837B98">
            <w:pPr>
              <w:suppressAutoHyphens/>
              <w:jc w:val="both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Наименование получателя:</w:t>
            </w:r>
            <w:r w:rsidRPr="005F5AE5">
              <w:rPr>
                <w:sz w:val="19"/>
                <w:szCs w:val="19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Министерство финансов Ульяновской области (Государственное учреждение здравоохранения «Ульяновский областной клинический госпиталь ветеранов войн»)</w:t>
            </w:r>
          </w:p>
          <w:p w:rsidR="00837B98" w:rsidRPr="005F5AE5" w:rsidRDefault="00837B98" w:rsidP="00837B98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Лицевой счёт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:</w:t>
            </w:r>
            <w:proofErr w:type="gramEnd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№ 20261136В52</w:t>
            </w:r>
          </w:p>
          <w:p w:rsidR="00837B98" w:rsidRPr="005F5AE5" w:rsidRDefault="00837B98" w:rsidP="00837B98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ИНН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:</w:t>
            </w:r>
            <w:proofErr w:type="gramEnd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7303014661</w:t>
            </w:r>
          </w:p>
          <w:p w:rsidR="00837B98" w:rsidRPr="005F5AE5" w:rsidRDefault="00837B98" w:rsidP="00837B98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КПП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 :</w:t>
            </w:r>
            <w:proofErr w:type="gramEnd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732501001</w:t>
            </w:r>
          </w:p>
          <w:p w:rsidR="00837B98" w:rsidRPr="005F5AE5" w:rsidRDefault="00837B98" w:rsidP="00837B98">
            <w:pPr>
              <w:suppressAutoHyphens/>
              <w:jc w:val="both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Расчётный счёт</w:t>
            </w:r>
            <w:proofErr w:type="gramStart"/>
            <w:r w:rsidRPr="005F5AE5">
              <w:rPr>
                <w:sz w:val="19"/>
                <w:szCs w:val="19"/>
              </w:rPr>
              <w:t xml:space="preserve"> :</w:t>
            </w:r>
            <w:proofErr w:type="gramEnd"/>
            <w:r w:rsidRPr="005F5AE5">
              <w:rPr>
                <w:sz w:val="19"/>
                <w:szCs w:val="19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40601810573084000001</w:t>
            </w:r>
          </w:p>
          <w:p w:rsidR="00837B98" w:rsidRPr="005F5AE5" w:rsidRDefault="00837B98" w:rsidP="00837B98">
            <w:pPr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Наименование банка</w:t>
            </w:r>
            <w:r w:rsidRPr="005F5AE5">
              <w:rPr>
                <w:sz w:val="19"/>
                <w:szCs w:val="19"/>
              </w:rPr>
              <w:t>: Отделение Ульяновск, г. Ульяновск</w:t>
            </w:r>
          </w:p>
          <w:p w:rsidR="005E0BC2" w:rsidRPr="005F5AE5" w:rsidRDefault="00837B98" w:rsidP="00837B98">
            <w:pPr>
              <w:jc w:val="both"/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БИК</w:t>
            </w:r>
            <w:r w:rsidRPr="005F5AE5">
              <w:rPr>
                <w:sz w:val="19"/>
                <w:szCs w:val="19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047308001</w:t>
            </w:r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25. Платёжные реквизиты для перечисления денежных сре</w:t>
            </w:r>
            <w:proofErr w:type="gramStart"/>
            <w:r w:rsidRPr="005F5AE5">
              <w:rPr>
                <w:sz w:val="19"/>
                <w:szCs w:val="19"/>
              </w:rPr>
              <w:t>дств в к</w:t>
            </w:r>
            <w:proofErr w:type="gramEnd"/>
            <w:r w:rsidRPr="005F5AE5">
              <w:rPr>
                <w:sz w:val="19"/>
                <w:szCs w:val="19"/>
              </w:rPr>
              <w:t>ачестве обеспечения заявки при проведении конкурса</w:t>
            </w:r>
          </w:p>
        </w:tc>
        <w:tc>
          <w:tcPr>
            <w:tcW w:w="6946" w:type="dxa"/>
            <w:shd w:val="clear" w:color="auto" w:fill="auto"/>
          </w:tcPr>
          <w:p w:rsidR="00320268" w:rsidRPr="005F5AE5" w:rsidRDefault="005E0BC2" w:rsidP="00320268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 </w:t>
            </w:r>
            <w:r w:rsidR="00320268" w:rsidRPr="005F5AE5">
              <w:rPr>
                <w:sz w:val="19"/>
                <w:szCs w:val="19"/>
                <w:u w:val="single"/>
              </w:rPr>
              <w:t>Наименование получателя:</w:t>
            </w:r>
            <w:r w:rsidR="00320268" w:rsidRPr="005F5AE5">
              <w:rPr>
                <w:sz w:val="19"/>
                <w:szCs w:val="19"/>
              </w:rPr>
              <w:t xml:space="preserve"> Министерство финансов Ульяновской области (Государственное учреждение здравоохранения «Ульяновский областной клинический госпиталь ветеранов войн»)</w:t>
            </w:r>
          </w:p>
          <w:p w:rsidR="00320268" w:rsidRPr="005F5AE5" w:rsidRDefault="00320268" w:rsidP="00320268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Лицевой счёт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:</w:t>
            </w:r>
            <w:proofErr w:type="gramEnd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Pr="005F5AE5">
              <w:rPr>
                <w:sz w:val="19"/>
                <w:szCs w:val="19"/>
              </w:rPr>
              <w:t>№ 20261136В52</w:t>
            </w:r>
          </w:p>
          <w:p w:rsidR="00320268" w:rsidRPr="005F5AE5" w:rsidRDefault="00320268" w:rsidP="00320268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ИНН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:</w:t>
            </w:r>
            <w:proofErr w:type="gramEnd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Pr="005F5AE5">
              <w:rPr>
                <w:sz w:val="19"/>
                <w:szCs w:val="19"/>
              </w:rPr>
              <w:t>7303014661</w:t>
            </w:r>
          </w:p>
          <w:p w:rsidR="00320268" w:rsidRPr="005F5AE5" w:rsidRDefault="00320268" w:rsidP="00320268">
            <w:pPr>
              <w:jc w:val="both"/>
              <w:rPr>
                <w:sz w:val="19"/>
                <w:szCs w:val="19"/>
                <w:u w:val="single"/>
              </w:rPr>
            </w:pPr>
            <w:r w:rsidRPr="005F5AE5">
              <w:rPr>
                <w:sz w:val="19"/>
                <w:szCs w:val="19"/>
                <w:u w:val="single"/>
              </w:rPr>
              <w:t>КПП</w:t>
            </w:r>
            <w:proofErr w:type="gramStart"/>
            <w:r w:rsidRPr="005F5AE5">
              <w:rPr>
                <w:sz w:val="19"/>
                <w:szCs w:val="19"/>
                <w:u w:val="single"/>
              </w:rPr>
              <w:t xml:space="preserve">  :</w:t>
            </w:r>
            <w:proofErr w:type="gramEnd"/>
            <w:r w:rsidRPr="005F5AE5">
              <w:rPr>
                <w:sz w:val="19"/>
                <w:szCs w:val="19"/>
                <w:u w:val="single"/>
              </w:rPr>
              <w:t xml:space="preserve"> </w:t>
            </w:r>
            <w:r w:rsidRPr="005F5AE5">
              <w:rPr>
                <w:sz w:val="19"/>
                <w:szCs w:val="19"/>
              </w:rPr>
              <w:t>732501001</w:t>
            </w:r>
          </w:p>
          <w:p w:rsidR="00320268" w:rsidRPr="005F5AE5" w:rsidRDefault="00320268" w:rsidP="00320268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Расчётный счёт</w:t>
            </w:r>
            <w:proofErr w:type="gramStart"/>
            <w:r w:rsidRPr="005F5AE5">
              <w:rPr>
                <w:sz w:val="19"/>
                <w:szCs w:val="19"/>
              </w:rPr>
              <w:t xml:space="preserve"> :</w:t>
            </w:r>
            <w:proofErr w:type="gramEnd"/>
            <w:r w:rsidRPr="005F5AE5">
              <w:rPr>
                <w:sz w:val="19"/>
                <w:szCs w:val="19"/>
              </w:rPr>
              <w:t xml:space="preserve"> 40601810573084000001</w:t>
            </w:r>
          </w:p>
          <w:p w:rsidR="00320268" w:rsidRPr="005F5AE5" w:rsidRDefault="00320268" w:rsidP="00320268">
            <w:pPr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Наименование банка</w:t>
            </w:r>
            <w:r w:rsidRPr="005F5AE5">
              <w:rPr>
                <w:sz w:val="19"/>
                <w:szCs w:val="19"/>
              </w:rPr>
              <w:t>: Отделение Ульяновск, г. Ульяновск</w:t>
            </w:r>
          </w:p>
          <w:p w:rsidR="005E0BC2" w:rsidRPr="005F5AE5" w:rsidRDefault="00320268" w:rsidP="00320268">
            <w:pPr>
              <w:jc w:val="both"/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  <w:u w:val="single"/>
              </w:rPr>
              <w:t>БИК</w:t>
            </w:r>
            <w:r w:rsidRPr="005F5AE5">
              <w:rPr>
                <w:sz w:val="19"/>
                <w:szCs w:val="19"/>
              </w:rPr>
              <w:t xml:space="preserve"> 047308001</w:t>
            </w:r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26. Предъявляемые участникам закупки требования:</w:t>
            </w:r>
          </w:p>
        </w:tc>
        <w:tc>
          <w:tcPr>
            <w:tcW w:w="6946" w:type="dxa"/>
            <w:shd w:val="clear" w:color="auto" w:fill="auto"/>
          </w:tcPr>
          <w:p w:rsidR="005E0BC2" w:rsidRPr="005F5AE5" w:rsidRDefault="005E0BC2" w:rsidP="00837B9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1) Единые требования к участникам в соответствии с пунктом 1 части 1 статьи 31 Федерального закона от 05.04.2013 № 44-ФЗ;</w:t>
            </w:r>
          </w:p>
          <w:p w:rsidR="005E0BC2" w:rsidRPr="005F5AE5" w:rsidRDefault="005E0BC2" w:rsidP="00D475B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proofErr w:type="gramStart"/>
            <w:r w:rsidRPr="005F5AE5">
              <w:rPr>
                <w:sz w:val="19"/>
                <w:szCs w:val="19"/>
              </w:rPr>
              <w:t>2)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частью 1.1 статьи 31 Федерального за</w:t>
            </w:r>
            <w:r w:rsidR="00837B98" w:rsidRPr="005F5AE5">
              <w:rPr>
                <w:sz w:val="19"/>
                <w:szCs w:val="19"/>
              </w:rPr>
              <w:t>кона от 05.04.2013 № 44-ФЗ.</w:t>
            </w:r>
            <w:proofErr w:type="gramEnd"/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27. Исчерпывающий перечень документов, которые должны быть представлены участниками закупки в соответствии с пунктом 1 части 1 статьи 31 Федерального закона от 05.04.2013 № 44-ФЗ</w:t>
            </w:r>
          </w:p>
        </w:tc>
        <w:tc>
          <w:tcPr>
            <w:tcW w:w="6946" w:type="dxa"/>
            <w:shd w:val="clear" w:color="auto" w:fill="auto"/>
          </w:tcPr>
          <w:p w:rsidR="00D475B2" w:rsidRPr="005F5AE5" w:rsidRDefault="00D475B2" w:rsidP="00D475B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1) Единые требования к участникам в соответствии с пунктом 1 части 1 статьи 31 Федерального закона от 05.04.2013 № 44-ФЗ;</w:t>
            </w:r>
          </w:p>
          <w:p w:rsidR="005E0BC2" w:rsidRPr="005F5AE5" w:rsidRDefault="00D475B2" w:rsidP="00D475B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proofErr w:type="gramStart"/>
            <w:r w:rsidRPr="005F5AE5">
              <w:rPr>
                <w:sz w:val="19"/>
                <w:szCs w:val="19"/>
              </w:rPr>
              <w:t>2)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частью 1.1 статьи 31 Федерального закона от 05.04.2013 № 44-ФЗ.</w:t>
            </w:r>
            <w:proofErr w:type="gramEnd"/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28. Дополнительные требования к участникам в соответствии с частью 2 и </w:t>
            </w:r>
            <w:r w:rsidRPr="005F5AE5">
              <w:rPr>
                <w:sz w:val="19"/>
                <w:szCs w:val="19"/>
              </w:rPr>
              <w:lastRenderedPageBreak/>
              <w:t>2.1 статьи 31 Федерального закона от 05.04.2013 № 44-ФЗ</w:t>
            </w:r>
          </w:p>
        </w:tc>
        <w:tc>
          <w:tcPr>
            <w:tcW w:w="6946" w:type="dxa"/>
            <w:shd w:val="clear" w:color="auto" w:fill="auto"/>
          </w:tcPr>
          <w:p w:rsidR="0087742F" w:rsidRPr="005F5AE5" w:rsidRDefault="005E0BC2" w:rsidP="0087742F">
            <w:pPr>
              <w:autoSpaceDE w:val="0"/>
              <w:autoSpaceDN w:val="0"/>
              <w:adjustRightInd w:val="0"/>
              <w:jc w:val="both"/>
              <w:rPr>
                <w:i/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lastRenderedPageBreak/>
              <w:t xml:space="preserve"> </w:t>
            </w:r>
            <w:r w:rsidR="00D765DB" w:rsidRPr="005F5AE5">
              <w:rPr>
                <w:i/>
                <w:sz w:val="19"/>
                <w:szCs w:val="19"/>
              </w:rPr>
              <w:t>Н</w:t>
            </w:r>
            <w:r w:rsidR="0087742F" w:rsidRPr="005F5AE5">
              <w:rPr>
                <w:i/>
                <w:sz w:val="19"/>
                <w:szCs w:val="19"/>
              </w:rPr>
              <w:t xml:space="preserve">аличие опыта исполнения (с учетом правопреемства) контракта (договора) на оказание услуг общественного питания и (или) поставки пищевых продуктов за </w:t>
            </w:r>
            <w:r w:rsidR="0087742F" w:rsidRPr="005F5AE5">
              <w:rPr>
                <w:i/>
                <w:sz w:val="19"/>
                <w:szCs w:val="19"/>
              </w:rPr>
              <w:lastRenderedPageBreak/>
              <w:t xml:space="preserve">последние </w:t>
            </w:r>
            <w:r w:rsidR="00BB6EE8" w:rsidRPr="005F5AE5">
              <w:rPr>
                <w:i/>
                <w:sz w:val="19"/>
                <w:szCs w:val="19"/>
              </w:rPr>
              <w:t>3 года</w:t>
            </w:r>
            <w:r w:rsidR="0087742F" w:rsidRPr="005F5AE5">
              <w:rPr>
                <w:i/>
                <w:sz w:val="19"/>
                <w:szCs w:val="19"/>
              </w:rPr>
              <w:t xml:space="preserve">  до даты подачи заявки на участие в соответствующем конкурсе. При этом стоимость ранее исполненного контракта (договора с бюджетным учреждением) составляет не менее 20 процентов начальной (максимальной) цены контракта, договора (цены лота), на </w:t>
            </w:r>
            <w:proofErr w:type="gramStart"/>
            <w:r w:rsidR="0087742F" w:rsidRPr="005F5AE5">
              <w:rPr>
                <w:i/>
                <w:sz w:val="19"/>
                <w:szCs w:val="19"/>
              </w:rPr>
              <w:t>право</w:t>
            </w:r>
            <w:proofErr w:type="gramEnd"/>
            <w:r w:rsidR="0087742F" w:rsidRPr="005F5AE5">
              <w:rPr>
                <w:i/>
                <w:sz w:val="19"/>
                <w:szCs w:val="19"/>
              </w:rPr>
              <w:t xml:space="preserve"> заключить который проводится конкурс.</w:t>
            </w:r>
          </w:p>
          <w:p w:rsidR="005E0BC2" w:rsidRPr="005F5AE5" w:rsidRDefault="005E0BC2" w:rsidP="0098122F">
            <w:pPr>
              <w:autoSpaceDE w:val="0"/>
              <w:autoSpaceDN w:val="0"/>
              <w:adjustRightInd w:val="0"/>
              <w:jc w:val="both"/>
              <w:rPr>
                <w:i/>
                <w:sz w:val="19"/>
                <w:szCs w:val="19"/>
              </w:rPr>
            </w:pPr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C337D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lastRenderedPageBreak/>
              <w:t xml:space="preserve">29. Исчерпывающий перечень документов, которые должны быть представлены участниками закупки в соответствии с частями 2, 2.1 (при наличии таких требований) статьи 31 Федерального закона от 05.04.2013 </w:t>
            </w:r>
            <w:r w:rsidR="00CC7EC3" w:rsidRPr="005F5AE5">
              <w:rPr>
                <w:sz w:val="19"/>
                <w:szCs w:val="19"/>
              </w:rPr>
              <w:t xml:space="preserve"> </w:t>
            </w:r>
            <w:r w:rsidRPr="005F5AE5">
              <w:rPr>
                <w:sz w:val="19"/>
                <w:szCs w:val="19"/>
              </w:rPr>
              <w:t>№ 44-ФЗ</w:t>
            </w:r>
          </w:p>
        </w:tc>
        <w:tc>
          <w:tcPr>
            <w:tcW w:w="6946" w:type="dxa"/>
            <w:shd w:val="clear" w:color="auto" w:fill="auto"/>
          </w:tcPr>
          <w:p w:rsidR="005E0BC2" w:rsidRPr="005F5AE5" w:rsidRDefault="00D475B2" w:rsidP="0098122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proofErr w:type="gramStart"/>
            <w:r w:rsidRPr="005F5AE5">
              <w:rPr>
                <w:sz w:val="19"/>
                <w:szCs w:val="19"/>
              </w:rPr>
              <w:t>Копия (копии) ранее исполненного (исполненных) контракта (контрактов), договора (договоров) и документа (документов) о приемке поставленного товара, выполненной работы, оказанной услуги).</w:t>
            </w:r>
            <w:proofErr w:type="gramEnd"/>
          </w:p>
        </w:tc>
      </w:tr>
      <w:tr w:rsidR="005E0BC2" w:rsidRPr="005F5AE5" w:rsidTr="005F5AE5">
        <w:tc>
          <w:tcPr>
            <w:tcW w:w="3652" w:type="dxa"/>
            <w:shd w:val="clear" w:color="auto" w:fill="auto"/>
          </w:tcPr>
          <w:p w:rsidR="005E0BC2" w:rsidRPr="005F5AE5" w:rsidRDefault="005E0BC2" w:rsidP="00C337D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F5AE5">
              <w:rPr>
                <w:bCs/>
                <w:sz w:val="19"/>
                <w:szCs w:val="19"/>
              </w:rPr>
              <w:t xml:space="preserve">30. </w:t>
            </w:r>
            <w:proofErr w:type="gramStart"/>
            <w:r w:rsidRPr="005F5AE5">
              <w:rPr>
                <w:bCs/>
                <w:sz w:val="19"/>
                <w:szCs w:val="19"/>
              </w:rPr>
              <w:t>Перечень документов, подтверждающих соответствие товара, работы или услуги требованиям, установленным в соот</w:t>
            </w:r>
            <w:r w:rsidR="00CC7EC3" w:rsidRPr="005F5AE5">
              <w:rPr>
                <w:bCs/>
                <w:sz w:val="19"/>
                <w:szCs w:val="19"/>
              </w:rPr>
              <w:t xml:space="preserve">ветствии с </w:t>
            </w:r>
            <w:r w:rsidRPr="005F5AE5">
              <w:rPr>
                <w:bCs/>
                <w:sz w:val="19"/>
                <w:szCs w:val="19"/>
              </w:rPr>
              <w:t>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5E0BC2" w:rsidRPr="005F5AE5" w:rsidRDefault="005E0BC2" w:rsidP="0098122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в составе заявки на участие в закупке не предоставляются (пункт 3 части 2 статьи 51, пункт 3 части 5 статьи 66 Федерального з</w:t>
            </w:r>
            <w:r w:rsidR="00B52BEA" w:rsidRPr="005F5AE5">
              <w:rPr>
                <w:sz w:val="19"/>
                <w:szCs w:val="19"/>
              </w:rPr>
              <w:t>акона от 05.04.2013 № 44-ФЗ)</w:t>
            </w:r>
            <w:proofErr w:type="gramStart"/>
            <w:r w:rsidR="00B52BEA" w:rsidRPr="005F5AE5">
              <w:rPr>
                <w:sz w:val="19"/>
                <w:szCs w:val="19"/>
              </w:rPr>
              <w:t>.»</w:t>
            </w:r>
            <w:proofErr w:type="gramEnd"/>
          </w:p>
        </w:tc>
      </w:tr>
      <w:tr w:rsidR="006D1BA0" w:rsidRPr="005F5AE5" w:rsidTr="005F5AE5">
        <w:tc>
          <w:tcPr>
            <w:tcW w:w="3652" w:type="dxa"/>
            <w:shd w:val="clear" w:color="auto" w:fill="auto"/>
          </w:tcPr>
          <w:p w:rsidR="006D1BA0" w:rsidRPr="005F5AE5" w:rsidRDefault="006D1BA0" w:rsidP="0098122F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5F5AE5">
              <w:rPr>
                <w:bCs/>
                <w:sz w:val="19"/>
                <w:szCs w:val="19"/>
              </w:rPr>
              <w:t>31. Критерии оценки заявок на участие в открытом конкурсе, величины значимости этих критериев, порядок рассмотрения и оценки заявок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7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2550"/>
              <w:gridCol w:w="4540"/>
            </w:tblGrid>
            <w:tr w:rsidR="00B52BEA" w:rsidRPr="005F5AE5" w:rsidTr="00D7582C">
              <w:tc>
                <w:tcPr>
                  <w:tcW w:w="387" w:type="pct"/>
                  <w:shd w:val="clear" w:color="auto" w:fill="BFBFBF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 xml:space="preserve">№ </w:t>
                  </w:r>
                  <w:proofErr w:type="gramStart"/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п</w:t>
                  </w:r>
                  <w:proofErr w:type="gramEnd"/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/п</w:t>
                  </w:r>
                </w:p>
              </w:tc>
              <w:tc>
                <w:tcPr>
                  <w:tcW w:w="1659" w:type="pct"/>
                  <w:shd w:val="clear" w:color="auto" w:fill="BFBFBF"/>
                  <w:vAlign w:val="center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Критерий</w:t>
                  </w:r>
                </w:p>
              </w:tc>
              <w:tc>
                <w:tcPr>
                  <w:tcW w:w="2954" w:type="pct"/>
                  <w:shd w:val="clear" w:color="auto" w:fill="BFBFBF"/>
                  <w:vAlign w:val="center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Значимость критерия</w:t>
                  </w:r>
                  <w:proofErr w:type="gramStart"/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, (%)</w:t>
                  </w:r>
                  <w:proofErr w:type="gramEnd"/>
                </w:p>
              </w:tc>
            </w:tr>
            <w:tr w:rsidR="00B52BEA" w:rsidRPr="005F5AE5" w:rsidTr="00D7582C">
              <w:tc>
                <w:tcPr>
                  <w:tcW w:w="387" w:type="pct"/>
                </w:tcPr>
                <w:p w:rsidR="000028A1" w:rsidRPr="005F5AE5" w:rsidRDefault="000028A1" w:rsidP="000028A1">
                  <w:pPr>
                    <w:numPr>
                      <w:ilvl w:val="0"/>
                      <w:numId w:val="3"/>
                    </w:num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659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цена контракта</w:t>
                  </w:r>
                </w:p>
              </w:tc>
              <w:tc>
                <w:tcPr>
                  <w:tcW w:w="2954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60</w:t>
                  </w:r>
                </w:p>
              </w:tc>
            </w:tr>
            <w:tr w:rsidR="00B52BEA" w:rsidRPr="005F5AE5" w:rsidTr="00D7582C">
              <w:tc>
                <w:tcPr>
                  <w:tcW w:w="387" w:type="pct"/>
                </w:tcPr>
                <w:p w:rsidR="000028A1" w:rsidRPr="005F5AE5" w:rsidRDefault="000028A1" w:rsidP="000028A1">
                  <w:pPr>
                    <w:numPr>
                      <w:ilvl w:val="0"/>
                      <w:numId w:val="3"/>
                    </w:num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659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определённого уровня квалификации</w:t>
                  </w:r>
                </w:p>
              </w:tc>
              <w:tc>
                <w:tcPr>
                  <w:tcW w:w="2954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20</w:t>
                  </w:r>
                </w:p>
              </w:tc>
            </w:tr>
            <w:tr w:rsidR="00B52BEA" w:rsidRPr="005F5AE5" w:rsidTr="00D7582C">
              <w:tc>
                <w:tcPr>
                  <w:tcW w:w="387" w:type="pct"/>
                </w:tcPr>
                <w:p w:rsidR="000028A1" w:rsidRPr="005F5AE5" w:rsidRDefault="000028A1" w:rsidP="000028A1">
                  <w:pPr>
                    <w:numPr>
                      <w:ilvl w:val="0"/>
                      <w:numId w:val="3"/>
                    </w:num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659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качественные, функциональные и экологические характеристики объекта закупок</w:t>
                  </w:r>
                </w:p>
              </w:tc>
              <w:tc>
                <w:tcPr>
                  <w:tcW w:w="2954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20</w:t>
                  </w:r>
                </w:p>
              </w:tc>
            </w:tr>
            <w:tr w:rsidR="00B52BEA" w:rsidRPr="005F5AE5" w:rsidTr="00D7582C">
              <w:tc>
                <w:tcPr>
                  <w:tcW w:w="387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659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Итого</w:t>
                  </w:r>
                </w:p>
              </w:tc>
              <w:tc>
                <w:tcPr>
                  <w:tcW w:w="2954" w:type="pct"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0028A1" w:rsidRPr="005F5AE5" w:rsidRDefault="000028A1" w:rsidP="000028A1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1. Порядок оценки заявок по критерию «Цена контракта»: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Количество баллов, присуждаемых по критерию оценки </w:t>
            </w:r>
            <w:r w:rsidRPr="005F5AE5">
              <w:rPr>
                <w:color w:val="000000" w:themeColor="text1"/>
                <w:sz w:val="19"/>
                <w:szCs w:val="19"/>
              </w:rPr>
              <w:t>«Ц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ена контракта</w:t>
            </w:r>
            <w:r w:rsidRPr="005F5AE5">
              <w:rPr>
                <w:color w:val="000000" w:themeColor="text1"/>
                <w:sz w:val="19"/>
                <w:szCs w:val="19"/>
              </w:rPr>
              <w:t>»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(ЦБ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i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</w:rPr>
              <w:t>), определяется по формуле: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а) в случае если 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min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</w:rPr>
              <w:t xml:space="preserve"> 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&gt; 0,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                                                            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min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  <w:vertAlign w:val="superscript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>ЦБ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i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= ---------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×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100,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                                                              Ц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i</w:t>
            </w:r>
            <w:proofErr w:type="gramEnd"/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>где: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i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- предложение участника закупки, заявка (предложение) которого оценивается;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min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>б) в случае если</w:t>
            </w:r>
            <w:r w:rsidRPr="005F5AE5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min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</w:rPr>
              <w:t xml:space="preserve"> 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&lt; 0,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                                                      (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max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–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</w:rPr>
              <w:t xml:space="preserve"> 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i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)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  <w:vertAlign w:val="superscript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                                            ЦБ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i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= ---------------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×</w:t>
            </w:r>
            <w:r w:rsidRPr="005F5AE5">
              <w:rPr>
                <w:b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>100,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                                                            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max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где </w:t>
            </w:r>
            <w:proofErr w:type="gramStart"/>
            <w:r w:rsidRPr="005F5AE5">
              <w:rPr>
                <w:bCs/>
                <w:color w:val="000000" w:themeColor="text1"/>
                <w:sz w:val="19"/>
                <w:szCs w:val="19"/>
              </w:rPr>
              <w:t>Ц</w:t>
            </w:r>
            <w:proofErr w:type="gramEnd"/>
            <w:r w:rsidRPr="005F5AE5">
              <w:rPr>
                <w:bCs/>
                <w:color w:val="000000" w:themeColor="text1"/>
                <w:sz w:val="19"/>
                <w:szCs w:val="19"/>
                <w:vertAlign w:val="subscript"/>
                <w:lang w:val="en-US"/>
              </w:rPr>
              <w:t>max</w:t>
            </w: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lastRenderedPageBreak/>
              <w:t xml:space="preserve">2. </w:t>
            </w:r>
            <w:r w:rsidRPr="005F5AE5">
              <w:rPr>
                <w:color w:val="000000" w:themeColor="text1"/>
                <w:sz w:val="19"/>
                <w:szCs w:val="19"/>
              </w:rPr>
              <w:t>Порядок оценки заявок по критерию «Квалификация участников закупки, в том</w:t>
            </w:r>
            <w:r w:rsidRPr="005F5AE5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числе</w:t>
            </w:r>
            <w:r w:rsidRPr="005F5AE5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>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определённого уровня квалификации»: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 xml:space="preserve">Для оценки заявки по </w:t>
            </w:r>
            <w:proofErr w:type="spellStart"/>
            <w:r w:rsidRPr="005F5AE5">
              <w:rPr>
                <w:color w:val="000000" w:themeColor="text1"/>
                <w:sz w:val="19"/>
                <w:szCs w:val="19"/>
              </w:rPr>
              <w:t>нестоимостному</w:t>
            </w:r>
            <w:proofErr w:type="spellEnd"/>
            <w:r w:rsidRPr="005F5AE5">
              <w:rPr>
                <w:color w:val="000000" w:themeColor="text1"/>
                <w:sz w:val="19"/>
                <w:szCs w:val="19"/>
              </w:rPr>
              <w:t xml:space="preserve"> критерию оценки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определённого уровня квалификации» устанавливаются показатели:</w:t>
            </w:r>
          </w:p>
          <w:tbl>
            <w:tblPr>
              <w:tblW w:w="7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972"/>
              <w:gridCol w:w="1133"/>
              <w:gridCol w:w="1676"/>
            </w:tblGrid>
            <w:tr w:rsidR="000028A1" w:rsidRPr="005F5AE5" w:rsidTr="00733FB8">
              <w:trPr>
                <w:trHeight w:val="20"/>
                <w:tblHeader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 xml:space="preserve">№ </w:t>
                  </w:r>
                  <w:proofErr w:type="gramStart"/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п</w:t>
                  </w:r>
                  <w:proofErr w:type="gramEnd"/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/п</w:t>
                  </w:r>
                </w:p>
              </w:tc>
              <w:tc>
                <w:tcPr>
                  <w:tcW w:w="2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Максимальное количественное значение (в баллах)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Значимость</w:t>
                  </w:r>
                </w:p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показателя</w:t>
                  </w:r>
                </w:p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(%)</w:t>
                  </w:r>
                </w:p>
              </w:tc>
            </w:tr>
            <w:tr w:rsidR="000028A1" w:rsidRPr="005F5AE5" w:rsidTr="00733FB8">
              <w:trPr>
                <w:trHeight w:val="20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Обеспеченность участника закупки трудовыми ресурсами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20</w:t>
                  </w:r>
                </w:p>
              </w:tc>
            </w:tr>
            <w:tr w:rsidR="000028A1" w:rsidRPr="005F5AE5" w:rsidTr="00733FB8">
              <w:trPr>
                <w:trHeight w:val="256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2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A1" w:rsidRPr="005F5AE5" w:rsidRDefault="000028A1" w:rsidP="000028A1">
                  <w:pPr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5F5AE5">
                    <w:rPr>
                      <w:color w:val="000000" w:themeColor="text1"/>
                      <w:sz w:val="19"/>
                      <w:szCs w:val="19"/>
                    </w:rPr>
                    <w:t>80</w:t>
                  </w:r>
                </w:p>
              </w:tc>
            </w:tr>
          </w:tbl>
          <w:p w:rsidR="000028A1" w:rsidRPr="005F5AE5" w:rsidRDefault="000028A1" w:rsidP="000028A1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 xml:space="preserve">Показатель «Обеспеченность участника закупки трудовыми ресурсами». 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При оценке по данному показателю анализируется информация, представляемая участником конкурса для участия в конкурсе о наличии специалистов, состоящих в трудовых отношениях с участником конкурса с ограниченным участием, имеющих образование по специальности «повар» и имеющих квалификацию не ниже 4-го разряда (далее – специалист).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Баллы присваиваются только за документально подтвержденное наличие у участника конкурса специалистов.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5F5AE5">
              <w:rPr>
                <w:color w:val="000000" w:themeColor="text1"/>
                <w:sz w:val="19"/>
                <w:szCs w:val="19"/>
              </w:rPr>
              <w:t>Документами,  подтверждающими наличие специалистов являются</w:t>
            </w:r>
            <w:proofErr w:type="gramEnd"/>
            <w:r w:rsidRPr="005F5AE5">
              <w:rPr>
                <w:color w:val="000000" w:themeColor="text1"/>
                <w:sz w:val="19"/>
                <w:szCs w:val="19"/>
              </w:rPr>
              <w:t>, в совокупности: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1. Копия свидетельства или аттестата об образовании по специальности «Повар» с квалификацией не ниже 4-го разряда;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2. Копии трудовых книжек, подтверждающих трудовые отношения специалистов с участником конкурса с отметкой работодателя на дату подачи заявок;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3. Копии трудовых договоров, подтверждающих трудовые отношения специалистов с участником конкурса с ограниченным участием.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Количество баллов, присуждаемых по данному показателю, определяются по шкале: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от 1 до 50 специалистов включительно («Повар» с квалификацией не ниже 4-го разряда) – 10 баллов;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от 51 до 230 специалистов включительно («Повар» с квалификацией не ниже 4-го разряда) – 30 баллов;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более 230 специалистов («Повар» с квалификацией не ниже 4-го разряда) – 100 баллов;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5F5AE5">
              <w:rPr>
                <w:color w:val="000000" w:themeColor="text1"/>
                <w:sz w:val="19"/>
                <w:szCs w:val="19"/>
              </w:rPr>
              <w:t xml:space="preserve">При отсутствии информации в заявке на участие в конкурсе с ограниченным участием о наличии специалистов, состоящих в трудовых отношениях с участником конкурса с ограниченным участием, имеющих образование по специальности «повар» и имеющих квалификацию не ниже 4-го разряда </w:t>
            </w:r>
            <w:r w:rsidRPr="005F5AE5">
              <w:rPr>
                <w:i/>
                <w:color w:val="000000" w:themeColor="text1"/>
                <w:sz w:val="19"/>
                <w:szCs w:val="19"/>
              </w:rPr>
              <w:t>и</w:t>
            </w:r>
            <w:r w:rsidRPr="005F5AE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5F5AE5">
              <w:rPr>
                <w:i/>
                <w:color w:val="000000" w:themeColor="text1"/>
                <w:sz w:val="19"/>
                <w:szCs w:val="19"/>
              </w:rPr>
              <w:t xml:space="preserve">(или) </w:t>
            </w:r>
            <w:r w:rsidRPr="005F5AE5">
              <w:rPr>
                <w:color w:val="000000" w:themeColor="text1"/>
                <w:sz w:val="19"/>
                <w:szCs w:val="19"/>
              </w:rPr>
              <w:t>отсутствии подтверждающих документов о наличии специалистов (копии свидетельства или аттестата об образовании по специальности «Повар» с квалификацией не ниже 4-го разряда</w:t>
            </w:r>
            <w:proofErr w:type="gramEnd"/>
            <w:r w:rsidRPr="005F5AE5">
              <w:rPr>
                <w:color w:val="000000" w:themeColor="text1"/>
                <w:sz w:val="19"/>
                <w:szCs w:val="19"/>
              </w:rPr>
              <w:t>; копий трудовых книжек, подтверждающих</w:t>
            </w:r>
            <w:r w:rsidRPr="005F5AE5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5F5AE5">
              <w:rPr>
                <w:color w:val="000000" w:themeColor="text1"/>
                <w:sz w:val="19"/>
                <w:szCs w:val="19"/>
              </w:rPr>
              <w:t xml:space="preserve">трудовые отношения специалистов с участником конкурса с ограниченным участием с отметкой работодателя на дату подачи заявок; копий трудовых договоров, подтверждающих трудовые отношения специалистов с участником </w:t>
            </w:r>
            <w:r w:rsidRPr="005F5AE5">
              <w:rPr>
                <w:color w:val="000000" w:themeColor="text1"/>
                <w:sz w:val="19"/>
                <w:szCs w:val="19"/>
              </w:rPr>
              <w:lastRenderedPageBreak/>
              <w:t>конкурса с ограниченным участием) участнику присваивается 0 баллов.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Показатель «Обеспеченность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услуг».</w:t>
            </w:r>
          </w:p>
          <w:p w:rsidR="0087742F" w:rsidRPr="005F5AE5" w:rsidRDefault="0087742F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При оценке по данному показателю анализируется информация, представляемая участником конкурса для участия в конкурсе о налич</w:t>
            </w:r>
            <w:proofErr w:type="gramStart"/>
            <w:r w:rsidRPr="005F5AE5">
              <w:rPr>
                <w:color w:val="000000" w:themeColor="text1"/>
                <w:sz w:val="19"/>
                <w:szCs w:val="19"/>
              </w:rPr>
              <w:t>ии у у</w:t>
            </w:r>
            <w:proofErr w:type="gramEnd"/>
            <w:r w:rsidRPr="005F5AE5">
              <w:rPr>
                <w:color w:val="000000" w:themeColor="text1"/>
                <w:sz w:val="19"/>
                <w:szCs w:val="19"/>
              </w:rPr>
              <w:t>частника закупки пищевого производства с возможностью изготовления мясной продукции, в том числе высокой степени готовности, расположенного на территории г. Ульяновска и действующего не менее 5 месяцев на дату подачи заявки.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Для оценки учитываются следующие документы: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договор аренды или иной документ, подтверждающий право собственности участника закупки на помещение, где расположено пищевое производство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копии ветеринарных удостоверений, подтверждающих наличие у участника закупки ветеринарно-санитарных условий для заготовки, хранения, переработки мяса говядина, мяса птицы и выработки безопасной в ветеринарно-санитарном отношении мясных полуфабрикатов с последующей поставкой в сеть общественного питания, выданных участнику закупки не ранее 5 месяцев до даты подачи заявки на конкурс</w:t>
            </w:r>
          </w:p>
          <w:p w:rsidR="0087742F" w:rsidRPr="005F5AE5" w:rsidRDefault="0087742F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копии сертификатов соответствия, технических условий, деклараций о соответствии на мясную продукцию (мясо, отрубы из говядины бескостные и на кости, мясо птицы, фарш, фрикадельки, котлеты, гуляш, тефтели), выданных участнику закупки не ранее 5 месяцев до даты подачи заявки на конкурс.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Количество баллов, присуждаемых по данному показателю, определяется по шкале: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отсутствие пищевого производства и подтверждающих документов – 0 баллов;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наличие договора аренды на помещение пищевого производства – 10 баллов;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наличие договора аренды на помещение пищевого производства и ветеринарного удостоверения – 30 баллов;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- наличие договора аренды на помещение пищевого производства, ветеринарного удостоверения, технических условий, деклараций соответствия, сертификатов соответствия – 100 баллов.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87742F" w:rsidRPr="005F5AE5" w:rsidRDefault="0087742F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bCs/>
                <w:color w:val="000000" w:themeColor="text1"/>
                <w:sz w:val="19"/>
                <w:szCs w:val="19"/>
              </w:rPr>
              <w:t xml:space="preserve">3. </w:t>
            </w:r>
            <w:r w:rsidRPr="005F5AE5">
              <w:rPr>
                <w:color w:val="000000" w:themeColor="text1"/>
                <w:sz w:val="19"/>
                <w:szCs w:val="19"/>
              </w:rPr>
              <w:t>Порядок оценки заявок по критерию «Качественные, функциональные и экологические характеристики объекта закупок»:</w:t>
            </w:r>
          </w:p>
          <w:p w:rsidR="000028A1" w:rsidRPr="005F5AE5" w:rsidRDefault="000028A1" w:rsidP="000028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 xml:space="preserve">Для оценки заявки по </w:t>
            </w:r>
            <w:proofErr w:type="spellStart"/>
            <w:r w:rsidRPr="005F5AE5">
              <w:rPr>
                <w:color w:val="000000" w:themeColor="text1"/>
                <w:sz w:val="19"/>
                <w:szCs w:val="19"/>
              </w:rPr>
              <w:t>нестоимостному</w:t>
            </w:r>
            <w:proofErr w:type="spellEnd"/>
            <w:r w:rsidRPr="005F5AE5">
              <w:rPr>
                <w:color w:val="000000" w:themeColor="text1"/>
                <w:sz w:val="19"/>
                <w:szCs w:val="19"/>
              </w:rPr>
              <w:t xml:space="preserve"> критерию оценки «Качественные, функциональные и экологические характеристики объекта закупок» устанавливается показатель </w:t>
            </w:r>
            <w:r w:rsidRPr="005F5AE5">
              <w:rPr>
                <w:i/>
                <w:color w:val="000000" w:themeColor="text1"/>
                <w:sz w:val="19"/>
                <w:szCs w:val="19"/>
              </w:rPr>
              <w:t xml:space="preserve">«Качество услуг» </w:t>
            </w:r>
            <w:r w:rsidRPr="005F5AE5">
              <w:rPr>
                <w:color w:val="000000" w:themeColor="text1"/>
                <w:sz w:val="19"/>
                <w:szCs w:val="19"/>
              </w:rPr>
              <w:t>(значимость показателя - 100%), который оценивается исходя из следующих предложений участников по показателю в соответствии со шкалой оценки показателя: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77"/>
              <w:gridCol w:w="708"/>
              <w:gridCol w:w="851"/>
              <w:gridCol w:w="992"/>
              <w:gridCol w:w="3438"/>
            </w:tblGrid>
            <w:tr w:rsidR="00631D31" w:rsidRPr="005F5AE5" w:rsidTr="00B560E5">
              <w:trPr>
                <w:tblHeader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№</w:t>
                  </w:r>
                </w:p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proofErr w:type="gramStart"/>
                  <w:r w:rsidRPr="005F5AE5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5F5AE5">
                    <w:rPr>
                      <w:sz w:val="19"/>
                      <w:szCs w:val="19"/>
                    </w:rPr>
                    <w:t>/п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Наименование предложения</w:t>
                  </w:r>
                </w:p>
              </w:tc>
              <w:tc>
                <w:tcPr>
                  <w:tcW w:w="59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Присуждаемое количество баллов по предложению*</w:t>
                  </w:r>
                </w:p>
              </w:tc>
            </w:tr>
            <w:tr w:rsidR="00631D31" w:rsidRPr="005F5AE5" w:rsidTr="00B560E5">
              <w:trPr>
                <w:tblHeader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D31" w:rsidRPr="005F5AE5" w:rsidRDefault="00631D31" w:rsidP="00631D31">
                  <w:pPr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D31" w:rsidRPr="005F5AE5" w:rsidRDefault="00631D31" w:rsidP="00631D31">
                  <w:pPr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F5AE5">
                    <w:rPr>
                      <w:b/>
                      <w:sz w:val="19"/>
                      <w:szCs w:val="19"/>
                    </w:rPr>
                    <w:t>Количество баллов за подробное** предложение участника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F5AE5">
                    <w:rPr>
                      <w:b/>
                      <w:sz w:val="19"/>
                      <w:szCs w:val="19"/>
                    </w:rPr>
                    <w:t>Количество баллов за менее подробное*** предложение участника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F5AE5">
                    <w:rPr>
                      <w:b/>
                      <w:sz w:val="19"/>
                      <w:szCs w:val="19"/>
                    </w:rPr>
                    <w:t>Количество баллов за предложение участника о качестве услуг, которое носит декларативный характер****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F5AE5">
                    <w:rPr>
                      <w:b/>
                      <w:sz w:val="19"/>
                      <w:szCs w:val="19"/>
                    </w:rPr>
                    <w:t xml:space="preserve">Количество баллов </w:t>
                  </w:r>
                </w:p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F5AE5">
                    <w:rPr>
                      <w:b/>
                      <w:sz w:val="19"/>
                      <w:szCs w:val="19"/>
                    </w:rPr>
                    <w:t>за отсутствие предложений участника о качестве услуг</w:t>
                  </w:r>
                </w:p>
              </w:tc>
            </w:tr>
            <w:tr w:rsidR="00631D31" w:rsidRPr="005F5AE5" w:rsidTr="00B560E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 xml:space="preserve">Предложение по методологии </w:t>
                  </w:r>
                  <w:r w:rsidRPr="005F5AE5">
                    <w:rPr>
                      <w:sz w:val="19"/>
                      <w:szCs w:val="19"/>
                    </w:rPr>
                    <w:lastRenderedPageBreak/>
                    <w:t>оказания услуг, разработке меню, контролю качества за продовольственным сырьем и готовой продукции, включая описание решений, способов и методов оказания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  <w:lang w:val="en-US"/>
                    </w:rPr>
                    <w:lastRenderedPageBreak/>
                    <w:t>6</w:t>
                  </w:r>
                  <w:r w:rsidRPr="005F5AE5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0</w:t>
                  </w:r>
                </w:p>
              </w:tc>
            </w:tr>
            <w:tr w:rsidR="00631D31" w:rsidRPr="005F5AE5" w:rsidTr="00B560E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lastRenderedPageBreak/>
                    <w:t>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Предложение по автоматизации и использования специализированных компьютерных программ при оказании услуг по организации питания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0</w:t>
                  </w:r>
                </w:p>
              </w:tc>
            </w:tr>
            <w:tr w:rsidR="00631D31" w:rsidRPr="005F5AE5" w:rsidTr="00B560E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  <w:lang w:val="en-US"/>
                    </w:rPr>
                  </w:pPr>
                  <w:r w:rsidRPr="005F5AE5">
                    <w:rPr>
                      <w:sz w:val="19"/>
                      <w:szCs w:val="19"/>
                      <w:lang w:val="en-US"/>
                    </w:rPr>
                    <w:t>3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Предложение по системе взаимодействия и информирования потребителей о процессе оказани</w:t>
                  </w:r>
                  <w:r w:rsidRPr="005F5AE5">
                    <w:rPr>
                      <w:sz w:val="19"/>
                      <w:szCs w:val="19"/>
                    </w:rPr>
                    <w:lastRenderedPageBreak/>
                    <w:t xml:space="preserve">я услуги, в том числе по общественному </w:t>
                  </w:r>
                  <w:proofErr w:type="gramStart"/>
                  <w:r w:rsidRPr="005F5AE5">
                    <w:rPr>
                      <w:sz w:val="19"/>
                      <w:szCs w:val="19"/>
                    </w:rPr>
                    <w:t>контролю за</w:t>
                  </w:r>
                  <w:proofErr w:type="gramEnd"/>
                  <w:r w:rsidRPr="005F5AE5">
                    <w:rPr>
                      <w:sz w:val="19"/>
                      <w:szCs w:val="19"/>
                    </w:rPr>
                    <w:t xml:space="preserve"> качеством оказываемых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0</w:t>
                  </w:r>
                </w:p>
              </w:tc>
            </w:tr>
            <w:tr w:rsidR="00631D31" w:rsidRPr="005F5AE5" w:rsidTr="00B560E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  <w:lang w:val="en-US"/>
                    </w:rPr>
                  </w:pPr>
                  <w:r w:rsidRPr="005F5AE5">
                    <w:rPr>
                      <w:sz w:val="19"/>
                      <w:szCs w:val="19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 xml:space="preserve">Предложение по повышению квалификации сотрудников, непосредственно участвующих в процессе оказания услуги для обеспечения качества и безопасности питания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0</w:t>
                  </w:r>
                </w:p>
              </w:tc>
            </w:tr>
            <w:tr w:rsidR="00631D31" w:rsidRPr="005F5AE5" w:rsidTr="00B560E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  <w:lang w:val="en-US"/>
                    </w:rPr>
                  </w:pPr>
                  <w:r w:rsidRPr="005F5AE5">
                    <w:rPr>
                      <w:sz w:val="19"/>
                      <w:szCs w:val="19"/>
                      <w:lang w:val="en-US"/>
                    </w:rPr>
                    <w:t>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 xml:space="preserve">Предложение по осуществлению процедур, предупреждающих срывы поставок продовольственного сырья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D31" w:rsidRPr="005F5AE5" w:rsidRDefault="00631D31" w:rsidP="00631D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5F5AE5">
                    <w:rPr>
                      <w:sz w:val="19"/>
                      <w:szCs w:val="19"/>
                    </w:rPr>
                    <w:t>0</w:t>
                  </w:r>
                </w:p>
              </w:tc>
            </w:tr>
          </w:tbl>
          <w:p w:rsidR="00631D31" w:rsidRDefault="00631D31" w:rsidP="000F54E7">
            <w:pPr>
              <w:rPr>
                <w:color w:val="000000" w:themeColor="text1"/>
                <w:sz w:val="19"/>
                <w:szCs w:val="19"/>
              </w:rPr>
            </w:pPr>
          </w:p>
          <w:p w:rsidR="000F54E7" w:rsidRPr="005F5AE5" w:rsidRDefault="000F54E7" w:rsidP="000F54E7">
            <w:pPr>
              <w:rPr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5F5AE5">
              <w:rPr>
                <w:i/>
                <w:color w:val="000000" w:themeColor="text1"/>
                <w:sz w:val="19"/>
                <w:szCs w:val="19"/>
              </w:rPr>
              <w:t xml:space="preserve">* оценка осуществляется членами конкурсной комиссии на основании описаний и сведений, представленных участниками в составе заявки в виде предложений. Присуждаемое количество балов за каждое предложение различных участников, </w:t>
            </w:r>
            <w:r w:rsidRPr="005F5AE5">
              <w:rPr>
                <w:i/>
                <w:color w:val="000000" w:themeColor="text1"/>
                <w:sz w:val="19"/>
                <w:szCs w:val="19"/>
              </w:rPr>
              <w:lastRenderedPageBreak/>
              <w:t>может быть равным.</w:t>
            </w:r>
          </w:p>
          <w:p w:rsidR="000028A1" w:rsidRPr="005F5AE5" w:rsidRDefault="000028A1" w:rsidP="000028A1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5F5AE5">
              <w:rPr>
                <w:i/>
                <w:color w:val="000000" w:themeColor="text1"/>
                <w:sz w:val="19"/>
                <w:szCs w:val="19"/>
              </w:rPr>
              <w:t>** предложение участника о качестве услуг содержит детализированные сведения, позволяющие оценить предлагаемые подходы к решению поставленных задач и уровень качества оказания услуг, а также эффективность и надежность предлагаемых решений, их новизну и актуальность.</w:t>
            </w:r>
          </w:p>
          <w:p w:rsidR="000028A1" w:rsidRPr="005F5AE5" w:rsidRDefault="000028A1" w:rsidP="000028A1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5F5AE5">
              <w:rPr>
                <w:i/>
                <w:color w:val="000000" w:themeColor="text1"/>
                <w:sz w:val="19"/>
                <w:szCs w:val="19"/>
              </w:rPr>
              <w:t>*** предложение участника закупки содержит описательный характер и не содержит детализированных сведений, и (или) дублирует условия, установленные в настоящей конкурсной документации.</w:t>
            </w:r>
          </w:p>
          <w:p w:rsidR="000028A1" w:rsidRPr="005F5AE5" w:rsidRDefault="000028A1" w:rsidP="000028A1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5F5AE5">
              <w:rPr>
                <w:i/>
                <w:color w:val="000000" w:themeColor="text1"/>
                <w:sz w:val="19"/>
                <w:szCs w:val="19"/>
              </w:rPr>
              <w:t>**** предложение участника содержит только такие показатели, как «наличие», «присутствует», «имеется» и т.п.</w:t>
            </w:r>
          </w:p>
          <w:p w:rsidR="000028A1" w:rsidRPr="005F5AE5" w:rsidRDefault="000028A1" w:rsidP="000028A1">
            <w:pPr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0028A1" w:rsidRPr="005F5AE5" w:rsidRDefault="000028A1" w:rsidP="000028A1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 xml:space="preserve">Максимальное значение показателя составляет 100 баллов. </w:t>
            </w:r>
          </w:p>
          <w:p w:rsidR="000028A1" w:rsidRPr="005F5AE5" w:rsidRDefault="000028A1" w:rsidP="000028A1">
            <w:pPr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5F5AE5">
              <w:rPr>
                <w:color w:val="000000" w:themeColor="text1"/>
                <w:sz w:val="19"/>
                <w:szCs w:val="19"/>
              </w:rPr>
              <w:t>Количество баллов, присваиваемых заявке по показателю «Качество услуг», определяется как среднее арифметическое оценок (в баллах) всех членов комиссии по закупкам, присуждаемых заявке (предложению) по указанному показателю.</w:t>
            </w:r>
          </w:p>
          <w:p w:rsidR="006D1BA0" w:rsidRPr="005F5AE5" w:rsidRDefault="006D1BA0" w:rsidP="006D1BA0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6D1BA0" w:rsidRPr="005F5AE5" w:rsidTr="005F5AE5">
        <w:tc>
          <w:tcPr>
            <w:tcW w:w="3652" w:type="dxa"/>
            <w:shd w:val="clear" w:color="auto" w:fill="auto"/>
          </w:tcPr>
          <w:p w:rsidR="006D1BA0" w:rsidRPr="005F5AE5" w:rsidRDefault="006D1BA0" w:rsidP="0098122F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5F5AE5">
              <w:rPr>
                <w:bCs/>
                <w:sz w:val="19"/>
                <w:szCs w:val="19"/>
              </w:rPr>
              <w:lastRenderedPageBreak/>
              <w:t>32. Предложение о кандидатурах для включения в комиссию</w:t>
            </w:r>
          </w:p>
        </w:tc>
        <w:tc>
          <w:tcPr>
            <w:tcW w:w="6946" w:type="dxa"/>
            <w:shd w:val="clear" w:color="auto" w:fill="auto"/>
          </w:tcPr>
          <w:p w:rsidR="006D1BA0" w:rsidRPr="005F5AE5" w:rsidRDefault="006D1BA0" w:rsidP="006D1BA0">
            <w:pPr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 xml:space="preserve">Директор </w:t>
            </w:r>
            <w:proofErr w:type="spellStart"/>
            <w:r w:rsidRPr="005F5AE5">
              <w:rPr>
                <w:sz w:val="19"/>
                <w:szCs w:val="19"/>
              </w:rPr>
              <w:t>Блюденова</w:t>
            </w:r>
            <w:proofErr w:type="spellEnd"/>
            <w:r w:rsidRPr="005F5AE5">
              <w:rPr>
                <w:sz w:val="19"/>
                <w:szCs w:val="19"/>
              </w:rPr>
              <w:t xml:space="preserve"> Тамара Викторовна,  тел. 41-48-52</w:t>
            </w:r>
          </w:p>
          <w:p w:rsidR="006D1BA0" w:rsidRPr="005F5AE5" w:rsidRDefault="006D1BA0" w:rsidP="006D1BA0">
            <w:pPr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Диетическая сестра Карабанова Татьяна Михайловна, тел. 41-33-71</w:t>
            </w:r>
          </w:p>
          <w:p w:rsidR="006D1BA0" w:rsidRPr="005F5AE5" w:rsidRDefault="006D1BA0" w:rsidP="006D1BA0">
            <w:pPr>
              <w:rPr>
                <w:sz w:val="19"/>
                <w:szCs w:val="19"/>
              </w:rPr>
            </w:pPr>
            <w:r w:rsidRPr="005F5AE5">
              <w:rPr>
                <w:sz w:val="19"/>
                <w:szCs w:val="19"/>
              </w:rPr>
              <w:t>Начальник контрактного отдела - контрактный управляющий Савенков Павел Викторович, тел.41-47-10</w:t>
            </w:r>
          </w:p>
        </w:tc>
      </w:tr>
      <w:tr w:rsidR="006D1BA0" w:rsidRPr="005F5AE5" w:rsidTr="005F5AE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D1BA0" w:rsidRPr="005F5AE5" w:rsidRDefault="006D1BA0" w:rsidP="0098122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5F5AE5">
              <w:rPr>
                <w:rFonts w:eastAsia="Calibri"/>
                <w:sz w:val="19"/>
                <w:szCs w:val="19"/>
                <w:lang w:eastAsia="en-US"/>
              </w:rPr>
              <w:t>33. Приложения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6D1BA0" w:rsidRPr="005F5AE5" w:rsidRDefault="006D1BA0" w:rsidP="006D1BA0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5F5AE5">
              <w:rPr>
                <w:rFonts w:eastAsia="Calibri"/>
                <w:sz w:val="19"/>
                <w:szCs w:val="19"/>
                <w:lang w:eastAsia="en-US"/>
              </w:rPr>
              <w:t>Приложение №1 Описание объекта закупки и количество;</w:t>
            </w:r>
          </w:p>
          <w:p w:rsidR="006D1BA0" w:rsidRPr="005F5AE5" w:rsidRDefault="006D1BA0" w:rsidP="006D1BA0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5F5AE5">
              <w:rPr>
                <w:rFonts w:eastAsia="Calibri"/>
                <w:sz w:val="19"/>
                <w:szCs w:val="19"/>
                <w:lang w:eastAsia="en-US"/>
              </w:rPr>
              <w:t>Приложение №2 Обоснование начальной (максимальной) цены контракта;</w:t>
            </w:r>
          </w:p>
          <w:p w:rsidR="006D1BA0" w:rsidRPr="005F5AE5" w:rsidRDefault="006D1BA0" w:rsidP="006D1BA0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5F5AE5">
              <w:rPr>
                <w:rFonts w:eastAsia="Calibri"/>
                <w:sz w:val="19"/>
                <w:szCs w:val="19"/>
                <w:lang w:eastAsia="en-US"/>
              </w:rPr>
              <w:t>Приложение №3 Проект контракта</w:t>
            </w:r>
          </w:p>
        </w:tc>
      </w:tr>
    </w:tbl>
    <w:p w:rsidR="005E0BC2" w:rsidRPr="005F5AE5" w:rsidRDefault="005E0BC2" w:rsidP="005E0BC2">
      <w:pPr>
        <w:jc w:val="both"/>
        <w:rPr>
          <w:rFonts w:eastAsia="Calibri"/>
          <w:b/>
          <w:caps/>
          <w:sz w:val="19"/>
          <w:szCs w:val="19"/>
          <w:lang w:eastAsia="en-US"/>
        </w:rPr>
      </w:pPr>
    </w:p>
    <w:p w:rsidR="00CC7EC3" w:rsidRPr="005F5AE5" w:rsidRDefault="00CC7EC3" w:rsidP="00CC7EC3">
      <w:pPr>
        <w:tabs>
          <w:tab w:val="left" w:pos="6225"/>
        </w:tabs>
        <w:rPr>
          <w:color w:val="000000" w:themeColor="text1"/>
          <w:sz w:val="19"/>
          <w:szCs w:val="19"/>
        </w:rPr>
      </w:pPr>
      <w:r w:rsidRPr="005F5AE5">
        <w:rPr>
          <w:color w:val="000000" w:themeColor="text1"/>
          <w:sz w:val="19"/>
          <w:szCs w:val="19"/>
        </w:rPr>
        <w:t>Начальник  Госпиталя Ветеранов</w:t>
      </w:r>
      <w:r w:rsidRPr="005F5AE5">
        <w:rPr>
          <w:color w:val="000000" w:themeColor="text1"/>
          <w:sz w:val="19"/>
          <w:szCs w:val="19"/>
        </w:rPr>
        <w:tab/>
        <w:t>Э.А. Каримова</w:t>
      </w:r>
    </w:p>
    <w:p w:rsidR="00F724CF" w:rsidRPr="005F5AE5" w:rsidRDefault="00F724CF">
      <w:pPr>
        <w:rPr>
          <w:sz w:val="19"/>
          <w:szCs w:val="19"/>
        </w:rPr>
      </w:pPr>
    </w:p>
    <w:sectPr w:rsidR="00F724CF" w:rsidRPr="005F5AE5" w:rsidSect="00B52B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F4F"/>
    <w:multiLevelType w:val="hybridMultilevel"/>
    <w:tmpl w:val="6D720B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04C9E"/>
    <w:multiLevelType w:val="multilevel"/>
    <w:tmpl w:val="CF906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DBB4333"/>
    <w:multiLevelType w:val="hybridMultilevel"/>
    <w:tmpl w:val="90C6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2"/>
    <w:rsid w:val="000028A1"/>
    <w:rsid w:val="00066D2B"/>
    <w:rsid w:val="00067B25"/>
    <w:rsid w:val="0009434B"/>
    <w:rsid w:val="000F54E7"/>
    <w:rsid w:val="00120757"/>
    <w:rsid w:val="00124F1B"/>
    <w:rsid w:val="001F7CF8"/>
    <w:rsid w:val="002073C2"/>
    <w:rsid w:val="002202D7"/>
    <w:rsid w:val="00244FB7"/>
    <w:rsid w:val="002E0F7A"/>
    <w:rsid w:val="002E5F1C"/>
    <w:rsid w:val="003118F4"/>
    <w:rsid w:val="00320268"/>
    <w:rsid w:val="003E19BC"/>
    <w:rsid w:val="00502C36"/>
    <w:rsid w:val="00525D90"/>
    <w:rsid w:val="00545C82"/>
    <w:rsid w:val="00556609"/>
    <w:rsid w:val="005D31D0"/>
    <w:rsid w:val="005E0BC2"/>
    <w:rsid w:val="005F5AE5"/>
    <w:rsid w:val="00603A58"/>
    <w:rsid w:val="00631D31"/>
    <w:rsid w:val="00636418"/>
    <w:rsid w:val="006818AC"/>
    <w:rsid w:val="006B1623"/>
    <w:rsid w:val="006D1BA0"/>
    <w:rsid w:val="007323E5"/>
    <w:rsid w:val="00733FB8"/>
    <w:rsid w:val="0076038F"/>
    <w:rsid w:val="00837B98"/>
    <w:rsid w:val="0087742F"/>
    <w:rsid w:val="008B6684"/>
    <w:rsid w:val="008D450D"/>
    <w:rsid w:val="008E5F2A"/>
    <w:rsid w:val="008E7B13"/>
    <w:rsid w:val="00912C47"/>
    <w:rsid w:val="0098122F"/>
    <w:rsid w:val="009E1269"/>
    <w:rsid w:val="00A3577E"/>
    <w:rsid w:val="00A42E5A"/>
    <w:rsid w:val="00B52BEA"/>
    <w:rsid w:val="00B560E5"/>
    <w:rsid w:val="00B947F0"/>
    <w:rsid w:val="00BB6EE8"/>
    <w:rsid w:val="00BB6F8A"/>
    <w:rsid w:val="00C1757E"/>
    <w:rsid w:val="00C337D6"/>
    <w:rsid w:val="00C8427E"/>
    <w:rsid w:val="00CB47B5"/>
    <w:rsid w:val="00CC7EC3"/>
    <w:rsid w:val="00CF6E3B"/>
    <w:rsid w:val="00CF7280"/>
    <w:rsid w:val="00D1622F"/>
    <w:rsid w:val="00D475B2"/>
    <w:rsid w:val="00D7582C"/>
    <w:rsid w:val="00D765DB"/>
    <w:rsid w:val="00E00AF1"/>
    <w:rsid w:val="00E55315"/>
    <w:rsid w:val="00EB0A14"/>
    <w:rsid w:val="00ED2DE3"/>
    <w:rsid w:val="00EE0EB4"/>
    <w:rsid w:val="00F724CF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E0B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BA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A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E0B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BA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A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232AFB94CF7107A7AA2D18CCAC5CE2F9C070DA8C20B95FEFBEA913DA1FF3F69094B45ABA9DE9G6AEG" TargetMode="External"/><Relationship Id="rId3" Type="http://schemas.openxmlformats.org/officeDocument/2006/relationships/styles" Target="styles.xml"/><Relationship Id="rId7" Type="http://schemas.openxmlformats.org/officeDocument/2006/relationships/hyperlink" Target="mailto:gospital.v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D636-F193-4340-804B-B14BC400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Г.. Нугманова</dc:creator>
  <cp:lastModifiedBy>Ирина В.. Крупина</cp:lastModifiedBy>
  <cp:revision>5</cp:revision>
  <cp:lastPrinted>2018-05-14T11:32:00Z</cp:lastPrinted>
  <dcterms:created xsi:type="dcterms:W3CDTF">2018-05-11T11:58:00Z</dcterms:created>
  <dcterms:modified xsi:type="dcterms:W3CDTF">2018-05-17T04:48:00Z</dcterms:modified>
</cp:coreProperties>
</file>